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D68" w:rsidRDefault="00C8624C" w:rsidP="00E17D68">
      <w:pPr>
        <w:jc w:val="center"/>
        <w:rPr>
          <w:rFonts w:ascii="Calibri" w:eastAsia="Calibri" w:hAnsi="Calibri" w:cs="Times New Roman"/>
          <w:b/>
          <w:bCs/>
          <w:sz w:val="36"/>
          <w:szCs w:val="36"/>
        </w:rPr>
      </w:pPr>
      <w:r w:rsidRPr="00C8624C">
        <w:rPr>
          <w:rFonts w:ascii="Calibri" w:eastAsia="Calibri" w:hAnsi="Calibri" w:cs="Times New Roman"/>
          <w:b/>
          <w:bCs/>
          <w:sz w:val="36"/>
          <w:szCs w:val="36"/>
        </w:rPr>
        <w:t>COMUNICATO STAMPA</w:t>
      </w:r>
    </w:p>
    <w:p w:rsidR="00736A14" w:rsidRPr="00546397" w:rsidRDefault="00546397" w:rsidP="00E562B4">
      <w:pPr>
        <w:jc w:val="center"/>
        <w:rPr>
          <w:b/>
          <w:bCs/>
          <w:sz w:val="32"/>
          <w:szCs w:val="36"/>
        </w:rPr>
      </w:pPr>
      <w:r w:rsidRPr="00546397">
        <w:rPr>
          <w:b/>
          <w:bCs/>
          <w:sz w:val="32"/>
          <w:szCs w:val="36"/>
        </w:rPr>
        <w:t>3° RAPP</w:t>
      </w:r>
      <w:r w:rsidR="00BC6124">
        <w:rPr>
          <w:b/>
          <w:bCs/>
          <w:sz w:val="32"/>
          <w:szCs w:val="36"/>
        </w:rPr>
        <w:t>ORTO GIMBE.</w:t>
      </w:r>
      <w:r w:rsidRPr="00546397">
        <w:rPr>
          <w:b/>
          <w:bCs/>
          <w:sz w:val="32"/>
          <w:szCs w:val="36"/>
        </w:rPr>
        <w:t xml:space="preserve"> </w:t>
      </w:r>
      <w:r w:rsidR="00BC6124">
        <w:rPr>
          <w:b/>
          <w:bCs/>
          <w:sz w:val="32"/>
          <w:szCs w:val="36"/>
        </w:rPr>
        <w:t xml:space="preserve">NUOVO ESECUTIVO DI FRONTE A UN BIVIO </w:t>
      </w:r>
      <w:r w:rsidR="00BC6124">
        <w:rPr>
          <w:b/>
          <w:bCs/>
          <w:sz w:val="32"/>
          <w:szCs w:val="36"/>
        </w:rPr>
        <w:br/>
        <w:t xml:space="preserve">PER LA </w:t>
      </w:r>
      <w:r w:rsidR="00BC6124" w:rsidRPr="00293854">
        <w:rPr>
          <w:b/>
          <w:bCs/>
          <w:sz w:val="32"/>
          <w:szCs w:val="36"/>
        </w:rPr>
        <w:t>SANITÀ PUBBLICA</w:t>
      </w:r>
      <w:r w:rsidR="00BC6124">
        <w:rPr>
          <w:b/>
          <w:bCs/>
          <w:sz w:val="32"/>
          <w:szCs w:val="36"/>
        </w:rPr>
        <w:t>: RILANCIARE O SMANTELLARE</w:t>
      </w:r>
      <w:r w:rsidR="00736A14">
        <w:rPr>
          <w:b/>
          <w:bCs/>
          <w:sz w:val="32"/>
          <w:szCs w:val="36"/>
        </w:rPr>
        <w:t>?</w:t>
      </w:r>
      <w:r w:rsidR="00BC6124">
        <w:rPr>
          <w:b/>
          <w:bCs/>
          <w:sz w:val="32"/>
          <w:szCs w:val="36"/>
        </w:rPr>
        <w:t xml:space="preserve"> </w:t>
      </w:r>
    </w:p>
    <w:p w:rsidR="00AE1EFF" w:rsidRPr="003A47A3" w:rsidRDefault="003A47A3" w:rsidP="004303BA">
      <w:pPr>
        <w:jc w:val="both"/>
        <w:rPr>
          <w:b/>
        </w:rPr>
      </w:pPr>
      <w:r>
        <w:rPr>
          <w:b/>
        </w:rPr>
        <w:t xml:space="preserve">DEFINANZIAMENTO PROGRESSIVO, </w:t>
      </w:r>
      <w:r w:rsidR="009A37EB">
        <w:rPr>
          <w:b/>
        </w:rPr>
        <w:t xml:space="preserve">TROPPE </w:t>
      </w:r>
      <w:r w:rsidR="00522208">
        <w:rPr>
          <w:b/>
        </w:rPr>
        <w:t xml:space="preserve">PRESTAZIONI NEI NUOVI LEA, SPRECHI E </w:t>
      </w:r>
      <w:r w:rsidR="00522208" w:rsidRPr="00AA10CE">
        <w:rPr>
          <w:b/>
        </w:rPr>
        <w:t>INEFFICIENZE ED ESPANSIONE DEL</w:t>
      </w:r>
      <w:r w:rsidR="00A61A79">
        <w:rPr>
          <w:b/>
        </w:rPr>
        <w:t>L’INTERMEDIAZIONE ASSICURATIVA</w:t>
      </w:r>
      <w:r w:rsidR="00522208" w:rsidRPr="00AA10CE">
        <w:rPr>
          <w:b/>
        </w:rPr>
        <w:t xml:space="preserve"> </w:t>
      </w:r>
      <w:r w:rsidR="00AA6191" w:rsidRPr="00AA10CE">
        <w:rPr>
          <w:b/>
        </w:rPr>
        <w:t>RAPPRESENTANO</w:t>
      </w:r>
      <w:r w:rsidR="00522208" w:rsidRPr="00AA10CE">
        <w:rPr>
          <w:b/>
        </w:rPr>
        <w:t xml:space="preserve"> UN</w:t>
      </w:r>
      <w:r w:rsidR="00AA6191" w:rsidRPr="00AA10CE">
        <w:rPr>
          <w:b/>
        </w:rPr>
        <w:t>A</w:t>
      </w:r>
      <w:r w:rsidR="00522208" w:rsidRPr="00AA10CE">
        <w:rPr>
          <w:b/>
        </w:rPr>
        <w:t xml:space="preserve"> </w:t>
      </w:r>
      <w:r w:rsidR="00AA6191" w:rsidRPr="00E672C7">
        <w:rPr>
          <w:b/>
        </w:rPr>
        <w:t>MISCELA</w:t>
      </w:r>
      <w:r w:rsidR="00522208" w:rsidRPr="00AA10CE">
        <w:rPr>
          <w:b/>
        </w:rPr>
        <w:t xml:space="preserve"> LETALE PER LA SANIT</w:t>
      </w:r>
      <w:r w:rsidR="00AA10CE">
        <w:rPr>
          <w:b/>
        </w:rPr>
        <w:t>À</w:t>
      </w:r>
      <w:r w:rsidR="00522208" w:rsidRPr="00AA10CE">
        <w:rPr>
          <w:b/>
        </w:rPr>
        <w:t xml:space="preserve"> PUBBLICA. </w:t>
      </w:r>
      <w:r w:rsidR="00C56F97" w:rsidRPr="00AA10CE">
        <w:rPr>
          <w:b/>
        </w:rPr>
        <w:t xml:space="preserve">LA FONDAZIONE GIMBE </w:t>
      </w:r>
      <w:r w:rsidR="00095589" w:rsidRPr="00AA10CE">
        <w:rPr>
          <w:b/>
        </w:rPr>
        <w:t>ANALIZZA LO STATO DI SALUTE</w:t>
      </w:r>
      <w:r w:rsidR="009C6AFA">
        <w:rPr>
          <w:b/>
        </w:rPr>
        <w:t xml:space="preserve"> DEL SERVIZIO SANITARIO NAZIONALE</w:t>
      </w:r>
      <w:r w:rsidR="00522208" w:rsidRPr="00AA10CE">
        <w:rPr>
          <w:b/>
        </w:rPr>
        <w:t>,</w:t>
      </w:r>
      <w:r w:rsidR="00095589" w:rsidRPr="00AA10CE">
        <w:rPr>
          <w:b/>
        </w:rPr>
        <w:t xml:space="preserve"> </w:t>
      </w:r>
      <w:r w:rsidR="00D51D87">
        <w:rPr>
          <w:b/>
        </w:rPr>
        <w:t xml:space="preserve">NE </w:t>
      </w:r>
      <w:r w:rsidR="009A37EB">
        <w:rPr>
          <w:b/>
        </w:rPr>
        <w:t>RIVALUTA</w:t>
      </w:r>
      <w:r w:rsidR="009C6AFA" w:rsidRPr="00AA10CE">
        <w:rPr>
          <w:b/>
        </w:rPr>
        <w:t xml:space="preserve"> </w:t>
      </w:r>
      <w:r w:rsidR="00522208" w:rsidRPr="00AA10CE">
        <w:rPr>
          <w:b/>
        </w:rPr>
        <w:t xml:space="preserve">LA PROGNOSI </w:t>
      </w:r>
      <w:r w:rsidR="00D51D87">
        <w:rPr>
          <w:b/>
        </w:rPr>
        <w:t>AL 2025</w:t>
      </w:r>
      <w:r w:rsidR="00522208" w:rsidRPr="00AA10CE">
        <w:rPr>
          <w:b/>
        </w:rPr>
        <w:t xml:space="preserve"> </w:t>
      </w:r>
      <w:r w:rsidR="00095589" w:rsidRPr="00AA10CE">
        <w:rPr>
          <w:b/>
        </w:rPr>
        <w:t xml:space="preserve">E PROPONE UN PRECISO </w:t>
      </w:r>
      <w:r w:rsidR="00770D5D">
        <w:rPr>
          <w:b/>
        </w:rPr>
        <w:t>“</w:t>
      </w:r>
      <w:r w:rsidR="00095589" w:rsidRPr="003A47A3">
        <w:rPr>
          <w:b/>
        </w:rPr>
        <w:t xml:space="preserve">PIANO </w:t>
      </w:r>
      <w:r w:rsidR="00770D5D">
        <w:rPr>
          <w:b/>
        </w:rPr>
        <w:t>TERAPEUTICO”</w:t>
      </w:r>
      <w:r w:rsidR="00AE2657">
        <w:rPr>
          <w:b/>
        </w:rPr>
        <w:t xml:space="preserve">. PROGRAMMA E </w:t>
      </w:r>
      <w:r w:rsidRPr="003A47A3">
        <w:rPr>
          <w:b/>
        </w:rPr>
        <w:t xml:space="preserve">AZIONI DEL </w:t>
      </w:r>
      <w:r w:rsidR="00AE2657">
        <w:rPr>
          <w:b/>
        </w:rPr>
        <w:t>NUOVO</w:t>
      </w:r>
      <w:r w:rsidRPr="003A47A3">
        <w:rPr>
          <w:b/>
        </w:rPr>
        <w:t xml:space="preserve"> ESECUTIVO </w:t>
      </w:r>
      <w:r w:rsidR="00F71E30">
        <w:rPr>
          <w:b/>
        </w:rPr>
        <w:t xml:space="preserve">DETERMINANTI </w:t>
      </w:r>
      <w:r w:rsidRPr="003A47A3">
        <w:rPr>
          <w:b/>
        </w:rPr>
        <w:t>PER IL FUTURO DELLA SANITÀ PUBBLICA</w:t>
      </w:r>
      <w:r w:rsidR="00D51D87">
        <w:rPr>
          <w:b/>
        </w:rPr>
        <w:t xml:space="preserve"> E PER </w:t>
      </w:r>
      <w:r w:rsidR="00832428">
        <w:rPr>
          <w:b/>
        </w:rPr>
        <w:t xml:space="preserve">GARANTIRE IL DIRITTO ALLA </w:t>
      </w:r>
      <w:r w:rsidR="00D51D87">
        <w:rPr>
          <w:b/>
        </w:rPr>
        <w:t xml:space="preserve">TUTELA </w:t>
      </w:r>
      <w:r w:rsidR="00832428">
        <w:rPr>
          <w:b/>
        </w:rPr>
        <w:t>DEL</w:t>
      </w:r>
      <w:r w:rsidR="00D51D87">
        <w:rPr>
          <w:b/>
        </w:rPr>
        <w:t>LA SALUTE</w:t>
      </w:r>
      <w:r w:rsidR="00AE2657">
        <w:rPr>
          <w:b/>
        </w:rPr>
        <w:t>.</w:t>
      </w:r>
    </w:p>
    <w:p w:rsidR="005B4F61" w:rsidRDefault="00497373" w:rsidP="00EA3C71">
      <w:pPr>
        <w:jc w:val="center"/>
        <w:rPr>
          <w:rFonts w:ascii="Calibri" w:eastAsia="Calibri" w:hAnsi="Calibri" w:cs="Times New Roman"/>
          <w:b/>
          <w:bCs/>
          <w:sz w:val="24"/>
          <w:szCs w:val="24"/>
        </w:rPr>
      </w:pPr>
      <w:r>
        <w:rPr>
          <w:rFonts w:ascii="Calibri" w:eastAsia="Calibri" w:hAnsi="Calibri" w:cs="Times New Roman"/>
          <w:b/>
          <w:bCs/>
          <w:sz w:val="24"/>
          <w:szCs w:val="24"/>
        </w:rPr>
        <w:t>5</w:t>
      </w:r>
      <w:r w:rsidR="00DE6AEA">
        <w:rPr>
          <w:rFonts w:ascii="Calibri" w:eastAsia="Calibri" w:hAnsi="Calibri" w:cs="Times New Roman"/>
          <w:b/>
          <w:bCs/>
          <w:sz w:val="24"/>
          <w:szCs w:val="24"/>
        </w:rPr>
        <w:t xml:space="preserve"> giugno </w:t>
      </w:r>
      <w:r w:rsidR="00AE0F77">
        <w:rPr>
          <w:rFonts w:ascii="Calibri" w:eastAsia="Calibri" w:hAnsi="Calibri" w:cs="Times New Roman"/>
          <w:b/>
          <w:bCs/>
          <w:sz w:val="24"/>
          <w:szCs w:val="24"/>
        </w:rPr>
        <w:t>201</w:t>
      </w:r>
      <w:r>
        <w:rPr>
          <w:rFonts w:ascii="Calibri" w:eastAsia="Calibri" w:hAnsi="Calibri" w:cs="Times New Roman"/>
          <w:b/>
          <w:bCs/>
          <w:sz w:val="24"/>
          <w:szCs w:val="24"/>
        </w:rPr>
        <w:t>8</w:t>
      </w:r>
      <w:r w:rsidR="005B4F61">
        <w:rPr>
          <w:rFonts w:ascii="Calibri" w:eastAsia="Calibri" w:hAnsi="Calibri" w:cs="Times New Roman"/>
          <w:b/>
          <w:bCs/>
          <w:sz w:val="24"/>
          <w:szCs w:val="24"/>
        </w:rPr>
        <w:t xml:space="preserve"> - </w:t>
      </w:r>
      <w:r w:rsidR="005B4F61" w:rsidRPr="00C8624C">
        <w:rPr>
          <w:rFonts w:ascii="Calibri" w:eastAsia="Calibri" w:hAnsi="Calibri" w:cs="Times New Roman"/>
          <w:b/>
          <w:bCs/>
          <w:sz w:val="24"/>
          <w:szCs w:val="24"/>
        </w:rPr>
        <w:t xml:space="preserve">Fondazione GIMBE, </w:t>
      </w:r>
      <w:r w:rsidR="00185966">
        <w:rPr>
          <w:rFonts w:ascii="Calibri" w:eastAsia="Calibri" w:hAnsi="Calibri" w:cs="Times New Roman"/>
          <w:b/>
          <w:bCs/>
          <w:sz w:val="24"/>
          <w:szCs w:val="24"/>
        </w:rPr>
        <w:t>Roma</w:t>
      </w:r>
    </w:p>
    <w:p w:rsidR="00D26331" w:rsidRDefault="00D26331" w:rsidP="00B01528">
      <w:pPr>
        <w:rPr>
          <w:rFonts w:cstheme="minorHAnsi"/>
        </w:rPr>
      </w:pPr>
      <w:r w:rsidRPr="00D26331">
        <w:rPr>
          <w:rFonts w:cstheme="minorHAnsi"/>
        </w:rPr>
        <w:t xml:space="preserve">La Fondazione GIMBE ha presentato oggi presso </w:t>
      </w:r>
      <w:r w:rsidR="00B01528">
        <w:t xml:space="preserve">la </w:t>
      </w:r>
      <w:r w:rsidR="00B01528" w:rsidRPr="00B01528">
        <w:rPr>
          <w:rFonts w:cstheme="minorHAnsi"/>
        </w:rPr>
        <w:t xml:space="preserve">Sala Capitolare </w:t>
      </w:r>
      <w:r w:rsidR="00F22502">
        <w:rPr>
          <w:rFonts w:cstheme="minorHAnsi"/>
        </w:rPr>
        <w:t>del</w:t>
      </w:r>
      <w:r w:rsidR="00B01528">
        <w:rPr>
          <w:rFonts w:cstheme="minorHAnsi"/>
        </w:rPr>
        <w:t xml:space="preserve"> Senato della Repubblica </w:t>
      </w:r>
      <w:r w:rsidRPr="00D26331">
        <w:rPr>
          <w:rFonts w:cstheme="minorHAnsi"/>
        </w:rPr>
        <w:t xml:space="preserve">il </w:t>
      </w:r>
      <w:r>
        <w:rPr>
          <w:rFonts w:cstheme="minorHAnsi"/>
        </w:rPr>
        <w:t>3</w:t>
      </w:r>
      <w:r w:rsidRPr="00D26331">
        <w:rPr>
          <w:rFonts w:cstheme="minorHAnsi"/>
        </w:rPr>
        <w:t xml:space="preserve">° Rapporto sulla sostenibilità del Servizio Sanitario Nazionale: «La Fondazione GIMBE – esordisce il Presidente Nino Cartabellotta – ribadisce </w:t>
      </w:r>
      <w:r w:rsidR="00B01528">
        <w:rPr>
          <w:rFonts w:cstheme="minorHAnsi"/>
        </w:rPr>
        <w:t xml:space="preserve">che </w:t>
      </w:r>
      <w:r w:rsidRPr="00D26331">
        <w:rPr>
          <w:rFonts w:cstheme="minorHAnsi"/>
        </w:rPr>
        <w:t xml:space="preserve">non esiste alcun disegno occulto di smantellamento e privatizzazione del Servizio Sanitario Nazionale, ma continua a mancare un piano preciso di salvataggio. Nella consapevolezza che la sanità rappresenta sia un considerevole capitolo di spesa pubblica da ottimizzare, sia una leva di sviluppo economico da sostenere, il Rapporto </w:t>
      </w:r>
      <w:r w:rsidR="00CD2317">
        <w:rPr>
          <w:rFonts w:cstheme="minorHAnsi"/>
        </w:rPr>
        <w:t xml:space="preserve">valuta </w:t>
      </w:r>
      <w:r w:rsidRPr="00D26331">
        <w:rPr>
          <w:rFonts w:cstheme="minorHAnsi"/>
        </w:rPr>
        <w:t xml:space="preserve">con una prospettiva </w:t>
      </w:r>
      <w:r w:rsidR="00587B6A">
        <w:rPr>
          <w:rFonts w:cstheme="minorHAnsi"/>
        </w:rPr>
        <w:t>di medio termine</w:t>
      </w:r>
      <w:r w:rsidR="00587B6A" w:rsidRPr="00D26331">
        <w:rPr>
          <w:rFonts w:cstheme="minorHAnsi"/>
        </w:rPr>
        <w:t xml:space="preserve"> </w:t>
      </w:r>
      <w:r w:rsidRPr="00D26331">
        <w:rPr>
          <w:rFonts w:cstheme="minorHAnsi"/>
        </w:rPr>
        <w:t>il tema della sostenibilità del SSN, ripartendo dal suo obiettivo primario: promuovere, mantenere e recuperare la salute delle persone».</w:t>
      </w:r>
    </w:p>
    <w:p w:rsidR="00497373" w:rsidRDefault="001504F4" w:rsidP="00496192">
      <w:pPr>
        <w:spacing w:after="0"/>
        <w:rPr>
          <w:rFonts w:cstheme="minorHAnsi"/>
        </w:rPr>
      </w:pPr>
      <w:r w:rsidRPr="005240BD">
        <w:rPr>
          <w:rFonts w:cstheme="minorHAnsi"/>
        </w:rPr>
        <w:t xml:space="preserve">Il Rapporto </w:t>
      </w:r>
      <w:r w:rsidR="00CE71E5">
        <w:rPr>
          <w:rFonts w:cstheme="minorHAnsi"/>
        </w:rPr>
        <w:t xml:space="preserve">si apre </w:t>
      </w:r>
      <w:r w:rsidR="00587B6A">
        <w:rPr>
          <w:rFonts w:cstheme="minorHAnsi"/>
        </w:rPr>
        <w:t xml:space="preserve">con </w:t>
      </w:r>
      <w:r w:rsidR="00CE71E5">
        <w:rPr>
          <w:rFonts w:cstheme="minorHAnsi"/>
        </w:rPr>
        <w:t>i</w:t>
      </w:r>
      <w:r w:rsidR="00D258D8">
        <w:rPr>
          <w:rFonts w:cstheme="minorHAnsi"/>
        </w:rPr>
        <w:t xml:space="preserve"> risultati di </w:t>
      </w:r>
      <w:r w:rsidR="00D26331">
        <w:rPr>
          <w:rFonts w:cstheme="minorHAnsi"/>
        </w:rPr>
        <w:t>una revisione sistematica de</w:t>
      </w:r>
      <w:r w:rsidR="0069299B">
        <w:rPr>
          <w:rFonts w:cstheme="minorHAnsi"/>
        </w:rPr>
        <w:t xml:space="preserve">lle </w:t>
      </w:r>
      <w:r w:rsidR="0069299B" w:rsidRPr="00D258D8">
        <w:rPr>
          <w:rFonts w:cstheme="minorHAnsi"/>
          <w:b/>
        </w:rPr>
        <w:t xml:space="preserve">“classifiche” </w:t>
      </w:r>
      <w:r w:rsidR="00D26331" w:rsidRPr="00D258D8">
        <w:rPr>
          <w:rFonts w:cstheme="minorHAnsi"/>
          <w:b/>
        </w:rPr>
        <w:t>internazionali</w:t>
      </w:r>
      <w:r w:rsidR="00D26331">
        <w:rPr>
          <w:rFonts w:cstheme="minorHAnsi"/>
        </w:rPr>
        <w:t xml:space="preserve"> </w:t>
      </w:r>
      <w:r w:rsidR="0069299B">
        <w:rPr>
          <w:rFonts w:cstheme="minorHAnsi"/>
        </w:rPr>
        <w:t>che valutano l</w:t>
      </w:r>
      <w:r w:rsidR="00D26331">
        <w:rPr>
          <w:rFonts w:cstheme="minorHAnsi"/>
        </w:rPr>
        <w:t xml:space="preserve">e performance </w:t>
      </w:r>
      <w:r w:rsidR="0069299B">
        <w:rPr>
          <w:rFonts w:cstheme="minorHAnsi"/>
        </w:rPr>
        <w:t xml:space="preserve">dei sistemi sanitari. </w:t>
      </w:r>
      <w:r w:rsidR="00D26331" w:rsidRPr="00D26331">
        <w:rPr>
          <w:rFonts w:cstheme="minorHAnsi"/>
        </w:rPr>
        <w:t>«</w:t>
      </w:r>
      <w:r w:rsidR="00587B6A">
        <w:rPr>
          <w:rFonts w:cstheme="minorHAnsi"/>
        </w:rPr>
        <w:t>Occorre fermare le strumentalizzazioni</w:t>
      </w:r>
      <w:r w:rsidR="0069299B">
        <w:rPr>
          <w:rFonts w:cstheme="minorHAnsi"/>
        </w:rPr>
        <w:t xml:space="preserve"> </w:t>
      </w:r>
      <w:r w:rsidR="00CE71E5">
        <w:rPr>
          <w:rFonts w:cstheme="minorHAnsi"/>
        </w:rPr>
        <w:t>nel dibattito pubblico e nelle comunicazioni istituzionali</w:t>
      </w:r>
      <w:r w:rsidR="00587B6A">
        <w:rPr>
          <w:rFonts w:cstheme="minorHAnsi"/>
        </w:rPr>
        <w:t xml:space="preserve"> – puntualizza il Presidente – </w:t>
      </w:r>
      <w:r w:rsidR="000815B7">
        <w:rPr>
          <w:rFonts w:cstheme="minorHAnsi"/>
        </w:rPr>
        <w:t xml:space="preserve">che decantano </w:t>
      </w:r>
      <w:r w:rsidR="00EF21E1">
        <w:rPr>
          <w:rFonts w:cstheme="minorHAnsi"/>
        </w:rPr>
        <w:t xml:space="preserve">prestigiose </w:t>
      </w:r>
      <w:r w:rsidR="0069299B">
        <w:rPr>
          <w:rFonts w:cstheme="minorHAnsi"/>
        </w:rPr>
        <w:t>posizioni</w:t>
      </w:r>
      <w:r w:rsidR="00CE71E5">
        <w:rPr>
          <w:rFonts w:cstheme="minorHAnsi"/>
        </w:rPr>
        <w:t xml:space="preserve"> </w:t>
      </w:r>
      <w:r w:rsidR="00AA6191" w:rsidRPr="00587B6A">
        <w:rPr>
          <w:rFonts w:cstheme="minorHAnsi"/>
        </w:rPr>
        <w:t xml:space="preserve">del </w:t>
      </w:r>
      <w:r w:rsidR="009A37EB" w:rsidRPr="00587B6A">
        <w:rPr>
          <w:rFonts w:cstheme="minorHAnsi"/>
        </w:rPr>
        <w:t>nostro SSN</w:t>
      </w:r>
      <w:r w:rsidR="00EF21E1" w:rsidRPr="00587B6A">
        <w:rPr>
          <w:rFonts w:cstheme="minorHAnsi"/>
        </w:rPr>
        <w:t xml:space="preserve"> in </w:t>
      </w:r>
      <w:r w:rsidR="00EF21E1" w:rsidRPr="000815B7">
        <w:rPr>
          <w:rFonts w:cstheme="minorHAnsi"/>
        </w:rPr>
        <w:t>classifiche</w:t>
      </w:r>
      <w:r w:rsidR="00326DCF" w:rsidRPr="000815B7">
        <w:rPr>
          <w:rFonts w:cstheme="minorHAnsi"/>
        </w:rPr>
        <w:t xml:space="preserve"> </w:t>
      </w:r>
      <w:r w:rsidR="009A37EB" w:rsidRPr="00587B6A">
        <w:rPr>
          <w:rFonts w:cstheme="minorHAnsi"/>
        </w:rPr>
        <w:t xml:space="preserve">ormai </w:t>
      </w:r>
      <w:r w:rsidR="00E672C7" w:rsidRPr="00587B6A">
        <w:rPr>
          <w:rFonts w:cstheme="minorHAnsi"/>
        </w:rPr>
        <w:t>obsolete</w:t>
      </w:r>
      <w:r w:rsidR="000815B7">
        <w:rPr>
          <w:rFonts w:cstheme="minorHAnsi"/>
        </w:rPr>
        <w:t xml:space="preserve"> </w:t>
      </w:r>
      <w:r w:rsidR="00326DCF" w:rsidRPr="00587B6A">
        <w:rPr>
          <w:rFonts w:cstheme="minorHAnsi"/>
        </w:rPr>
        <w:t xml:space="preserve">(2° posto nella </w:t>
      </w:r>
      <w:r w:rsidR="00326DCF" w:rsidRPr="000815B7">
        <w:rPr>
          <w:rFonts w:cstheme="minorHAnsi"/>
        </w:rPr>
        <w:t xml:space="preserve">classifica </w:t>
      </w:r>
      <w:r w:rsidR="00326DCF">
        <w:rPr>
          <w:rFonts w:cstheme="minorHAnsi"/>
        </w:rPr>
        <w:t>OMS del 2000</w:t>
      </w:r>
      <w:r w:rsidR="00AA6191">
        <w:rPr>
          <w:rFonts w:cstheme="minorHAnsi"/>
        </w:rPr>
        <w:t xml:space="preserve"> con dati 1997</w:t>
      </w:r>
      <w:r w:rsidR="00326DCF">
        <w:rPr>
          <w:rFonts w:cstheme="minorHAnsi"/>
        </w:rPr>
        <w:t>)</w:t>
      </w:r>
      <w:r w:rsidR="00AA6191">
        <w:rPr>
          <w:rFonts w:cstheme="minorHAnsi"/>
        </w:rPr>
        <w:t>,</w:t>
      </w:r>
      <w:r w:rsidR="00326DCF">
        <w:rPr>
          <w:rFonts w:cstheme="minorHAnsi"/>
        </w:rPr>
        <w:t xml:space="preserve"> o</w:t>
      </w:r>
      <w:r w:rsidR="00AA6191">
        <w:rPr>
          <w:rFonts w:cstheme="minorHAnsi"/>
        </w:rPr>
        <w:t>ppure</w:t>
      </w:r>
      <w:r w:rsidR="00326DCF">
        <w:rPr>
          <w:rFonts w:cstheme="minorHAnsi"/>
        </w:rPr>
        <w:t xml:space="preserve"> che </w:t>
      </w:r>
      <w:r w:rsidR="0069299B">
        <w:rPr>
          <w:rFonts w:cstheme="minorHAnsi"/>
        </w:rPr>
        <w:t>mett</w:t>
      </w:r>
      <w:r w:rsidR="009A37EB">
        <w:rPr>
          <w:rFonts w:cstheme="minorHAnsi"/>
        </w:rPr>
        <w:t xml:space="preserve">ono </w:t>
      </w:r>
      <w:r w:rsidR="0069299B">
        <w:rPr>
          <w:rFonts w:cstheme="minorHAnsi"/>
        </w:rPr>
        <w:t>in relazione l’aspettativa di vita con la spesa sanitaria pro-capite</w:t>
      </w:r>
      <w:r w:rsidR="00326DCF">
        <w:rPr>
          <w:rFonts w:cstheme="minorHAnsi"/>
        </w:rPr>
        <w:t xml:space="preserve"> (3° posto nella classifica Bloomberg) </w:t>
      </w:r>
      <w:r w:rsidR="009A37EB">
        <w:rPr>
          <w:rFonts w:cstheme="minorHAnsi"/>
        </w:rPr>
        <w:t>per cui</w:t>
      </w:r>
      <w:r w:rsidR="009A37EB" w:rsidRPr="009A37EB">
        <w:rPr>
          <w:rFonts w:cstheme="minorHAnsi"/>
        </w:rPr>
        <w:t xml:space="preserve"> </w:t>
      </w:r>
      <w:r w:rsidR="009A37EB">
        <w:rPr>
          <w:rFonts w:cstheme="minorHAnsi"/>
        </w:rPr>
        <w:t>meno spendiamo più scaliamo la classifica</w:t>
      </w:r>
      <w:r w:rsidR="00EF21E1">
        <w:rPr>
          <w:rFonts w:cstheme="minorHAnsi"/>
        </w:rPr>
        <w:t>,</w:t>
      </w:r>
      <w:r w:rsidR="00AA6191">
        <w:rPr>
          <w:rFonts w:cstheme="minorHAnsi"/>
        </w:rPr>
        <w:t xml:space="preserve"> </w:t>
      </w:r>
      <w:r w:rsidR="009A37EB">
        <w:rPr>
          <w:rFonts w:cstheme="minorHAnsi"/>
        </w:rPr>
        <w:t xml:space="preserve">visto che la </w:t>
      </w:r>
      <w:r w:rsidR="00EF21E1">
        <w:rPr>
          <w:rFonts w:cstheme="minorHAnsi"/>
        </w:rPr>
        <w:t>longevità dipende</w:t>
      </w:r>
      <w:r w:rsidR="0069299B">
        <w:rPr>
          <w:rFonts w:cstheme="minorHAnsi"/>
        </w:rPr>
        <w:t xml:space="preserve"> </w:t>
      </w:r>
      <w:r w:rsidR="009A37EB">
        <w:rPr>
          <w:rFonts w:cstheme="minorHAnsi"/>
        </w:rPr>
        <w:t xml:space="preserve">soprattutto </w:t>
      </w:r>
      <w:r w:rsidR="00EF21E1">
        <w:rPr>
          <w:rFonts w:cstheme="minorHAnsi"/>
        </w:rPr>
        <w:t xml:space="preserve">da </w:t>
      </w:r>
      <w:r w:rsidR="0069299B">
        <w:rPr>
          <w:rFonts w:cstheme="minorHAnsi"/>
        </w:rPr>
        <w:t>altre ragioni</w:t>
      </w:r>
      <w:r w:rsidR="0069299B" w:rsidRPr="00D26331">
        <w:rPr>
          <w:rFonts w:cstheme="minorHAnsi"/>
        </w:rPr>
        <w:t>».</w:t>
      </w:r>
      <w:r w:rsidR="0069299B">
        <w:rPr>
          <w:rFonts w:cstheme="minorHAnsi"/>
        </w:rPr>
        <w:t xml:space="preserve"> </w:t>
      </w:r>
      <w:r w:rsidR="00496192">
        <w:rPr>
          <w:rFonts w:cstheme="minorHAnsi"/>
        </w:rPr>
        <w:t>I</w:t>
      </w:r>
      <w:r w:rsidR="00496192" w:rsidRPr="00496192">
        <w:rPr>
          <w:rFonts w:cstheme="minorHAnsi"/>
        </w:rPr>
        <w:t xml:space="preserve">l sistema più completo e aggiornato per </w:t>
      </w:r>
      <w:r w:rsidR="00AA6191">
        <w:rPr>
          <w:rFonts w:cstheme="minorHAnsi"/>
        </w:rPr>
        <w:t>individuare</w:t>
      </w:r>
      <w:r w:rsidR="00496192" w:rsidRPr="00496192">
        <w:rPr>
          <w:rFonts w:cstheme="minorHAnsi"/>
        </w:rPr>
        <w:t xml:space="preserve"> le aree di miglioramento è quello dell’OCSE, </w:t>
      </w:r>
      <w:r w:rsidR="00496192">
        <w:rPr>
          <w:rFonts w:cstheme="minorHAnsi"/>
        </w:rPr>
        <w:t>che non stila tuttavia nessuna classifica</w:t>
      </w:r>
      <w:r w:rsidR="00A25176">
        <w:rPr>
          <w:rFonts w:cstheme="minorHAnsi"/>
        </w:rPr>
        <w:t xml:space="preserve">: </w:t>
      </w:r>
      <w:r w:rsidR="009A37EB">
        <w:rPr>
          <w:rFonts w:cstheme="minorHAnsi"/>
        </w:rPr>
        <w:t xml:space="preserve">al fine di </w:t>
      </w:r>
      <w:r w:rsidR="00496192" w:rsidRPr="00496192">
        <w:rPr>
          <w:rFonts w:cstheme="minorHAnsi"/>
        </w:rPr>
        <w:t>condividere le criticità e valutare le azioni neces</w:t>
      </w:r>
      <w:r w:rsidR="00496192">
        <w:rPr>
          <w:rFonts w:cstheme="minorHAnsi"/>
        </w:rPr>
        <w:t xml:space="preserve">sarie </w:t>
      </w:r>
      <w:r w:rsidR="009A37EB">
        <w:rPr>
          <w:rFonts w:cstheme="minorHAnsi"/>
        </w:rPr>
        <w:t>per</w:t>
      </w:r>
      <w:r w:rsidR="001043DB">
        <w:rPr>
          <w:rFonts w:cstheme="minorHAnsi"/>
        </w:rPr>
        <w:t xml:space="preserve"> </w:t>
      </w:r>
      <w:r w:rsidR="00496192">
        <w:rPr>
          <w:rFonts w:cstheme="minorHAnsi"/>
        </w:rPr>
        <w:t>allinearsi a standard internazionali</w:t>
      </w:r>
      <w:r w:rsidR="00A25176">
        <w:rPr>
          <w:rFonts w:cstheme="minorHAnsi"/>
        </w:rPr>
        <w:t xml:space="preserve">, il Rapporto </w:t>
      </w:r>
      <w:r w:rsidR="001E53AB" w:rsidRPr="000815B7">
        <w:rPr>
          <w:rFonts w:cstheme="minorHAnsi"/>
        </w:rPr>
        <w:t xml:space="preserve">ha analizzato </w:t>
      </w:r>
      <w:r w:rsidR="00496192" w:rsidRPr="00496192">
        <w:rPr>
          <w:rFonts w:cstheme="minorHAnsi"/>
        </w:rPr>
        <w:t>194 indica</w:t>
      </w:r>
      <w:r w:rsidR="00496192">
        <w:rPr>
          <w:rFonts w:cstheme="minorHAnsi"/>
        </w:rPr>
        <w:t xml:space="preserve">tori riportando per 151 di </w:t>
      </w:r>
      <w:r w:rsidR="00496192" w:rsidRPr="00496192">
        <w:rPr>
          <w:rFonts w:cstheme="minorHAnsi"/>
        </w:rPr>
        <w:t>essi la posizione in classifica del nostro SSN, il dato nazionale e</w:t>
      </w:r>
      <w:r w:rsidR="00496192">
        <w:rPr>
          <w:rFonts w:cstheme="minorHAnsi"/>
        </w:rPr>
        <w:t xml:space="preserve"> la media OCSE</w:t>
      </w:r>
      <w:r w:rsidR="00496192" w:rsidRPr="00D26331">
        <w:rPr>
          <w:rFonts w:cstheme="minorHAnsi"/>
        </w:rPr>
        <w:t>.</w:t>
      </w:r>
    </w:p>
    <w:p w:rsidR="00496192" w:rsidRDefault="00496192" w:rsidP="00496192">
      <w:pPr>
        <w:spacing w:after="0"/>
        <w:rPr>
          <w:rFonts w:cstheme="minorHAnsi"/>
        </w:rPr>
      </w:pPr>
    </w:p>
    <w:p w:rsidR="00496192" w:rsidRDefault="00AA65EF" w:rsidP="00672EDC">
      <w:pPr>
        <w:spacing w:after="0"/>
      </w:pPr>
      <w:r>
        <w:t xml:space="preserve">Il Rapporto </w:t>
      </w:r>
      <w:r w:rsidRPr="00E30818">
        <w:t xml:space="preserve">analizza </w:t>
      </w:r>
      <w:r>
        <w:t>poi</w:t>
      </w:r>
      <w:r>
        <w:rPr>
          <w:rFonts w:cstheme="minorHAnsi"/>
        </w:rPr>
        <w:t xml:space="preserve"> </w:t>
      </w:r>
      <w:r w:rsidR="00496192" w:rsidRPr="00496192">
        <w:rPr>
          <w:rFonts w:cstheme="minorHAnsi"/>
        </w:rPr>
        <w:t xml:space="preserve">la </w:t>
      </w:r>
      <w:r w:rsidR="00496192" w:rsidRPr="00D258D8">
        <w:rPr>
          <w:rFonts w:cstheme="minorHAnsi"/>
          <w:b/>
        </w:rPr>
        <w:t>spesa sanitaria 2016</w:t>
      </w:r>
      <w:r w:rsidR="00454813">
        <w:rPr>
          <w:rFonts w:cstheme="minorHAnsi"/>
        </w:rPr>
        <w:t xml:space="preserve"> che, s</w:t>
      </w:r>
      <w:r w:rsidR="00496192">
        <w:rPr>
          <w:rFonts w:cstheme="minorHAnsi"/>
        </w:rPr>
        <w:t>econdo le stime effettuate</w:t>
      </w:r>
      <w:r w:rsidR="00454813">
        <w:rPr>
          <w:rFonts w:cstheme="minorHAnsi"/>
        </w:rPr>
        <w:t>,</w:t>
      </w:r>
      <w:r w:rsidR="00496192" w:rsidRPr="00496192">
        <w:rPr>
          <w:rFonts w:cstheme="minorHAnsi"/>
        </w:rPr>
        <w:t xml:space="preserve"> ammonta a € 157,613 miliard</w:t>
      </w:r>
      <w:r w:rsidR="00496192">
        <w:rPr>
          <w:rFonts w:cstheme="minorHAnsi"/>
        </w:rPr>
        <w:t xml:space="preserve">i di cui: € 112,182 miliardi di </w:t>
      </w:r>
      <w:r w:rsidR="00496192" w:rsidRPr="00496192">
        <w:rPr>
          <w:rFonts w:cstheme="minorHAnsi"/>
        </w:rPr>
        <w:t>spesa pubblica; € 45,431 miliardi di spesa privata d</w:t>
      </w:r>
      <w:r w:rsidR="00496192">
        <w:rPr>
          <w:rFonts w:cstheme="minorHAnsi"/>
        </w:rPr>
        <w:t xml:space="preserve">i cui € 5,601 miliardi di spesa </w:t>
      </w:r>
      <w:r w:rsidR="00496192" w:rsidRPr="00496192">
        <w:rPr>
          <w:rFonts w:cstheme="minorHAnsi"/>
        </w:rPr>
        <w:t>intermediata (€ 3,831 miliardi da fondi sanitari, € 0,593 mil</w:t>
      </w:r>
      <w:r w:rsidR="00496192">
        <w:rPr>
          <w:rFonts w:cstheme="minorHAnsi"/>
        </w:rPr>
        <w:t xml:space="preserve">iardi da polizze individuali, € </w:t>
      </w:r>
      <w:r w:rsidR="00496192" w:rsidRPr="00496192">
        <w:rPr>
          <w:rFonts w:cstheme="minorHAnsi"/>
        </w:rPr>
        <w:t>1,177 miliardi da altri enti) e € 39,830 miliardi di spesa a carico delle famiglie (out-of</w:t>
      </w:r>
      <w:r w:rsidR="00496192">
        <w:rPr>
          <w:rFonts w:cstheme="minorHAnsi"/>
        </w:rPr>
        <w:t>-</w:t>
      </w:r>
      <w:r w:rsidR="00496192" w:rsidRPr="00496192">
        <w:rPr>
          <w:rFonts w:cstheme="minorHAnsi"/>
        </w:rPr>
        <w:t>pocket).</w:t>
      </w:r>
      <w:r w:rsidR="00672EDC">
        <w:rPr>
          <w:rFonts w:cstheme="minorHAnsi"/>
        </w:rPr>
        <w:t xml:space="preserve"> </w:t>
      </w:r>
      <w:r w:rsidR="00672EDC">
        <w:t>«</w:t>
      </w:r>
      <w:r w:rsidR="00672EDC">
        <w:rPr>
          <w:rFonts w:cstheme="minorHAnsi"/>
        </w:rPr>
        <w:t xml:space="preserve">Al di là di rivalutare </w:t>
      </w:r>
      <w:r w:rsidR="00454813">
        <w:rPr>
          <w:rFonts w:cstheme="minorHAnsi"/>
        </w:rPr>
        <w:t xml:space="preserve">cifre assolute </w:t>
      </w:r>
      <w:r w:rsidR="00672EDC">
        <w:rPr>
          <w:rFonts w:cstheme="minorHAnsi"/>
        </w:rPr>
        <w:t xml:space="preserve">e composizione percentuale </w:t>
      </w:r>
      <w:r w:rsidR="000B50CD">
        <w:rPr>
          <w:rFonts w:cstheme="minorHAnsi"/>
        </w:rPr>
        <w:t>della spesa sanitaria</w:t>
      </w:r>
      <w:r w:rsidR="00672EDC">
        <w:rPr>
          <w:rFonts w:cstheme="minorHAnsi"/>
        </w:rPr>
        <w:t xml:space="preserve">- spiega Cartabellotta - </w:t>
      </w:r>
      <w:r w:rsidR="00672EDC">
        <w:t>la vera sfida è identificare il ritorno in termini di salute delle risorse investite</w:t>
      </w:r>
      <w:r w:rsidR="000B50CD">
        <w:t xml:space="preserve"> (</w:t>
      </w:r>
      <w:r w:rsidR="000B50CD">
        <w:rPr>
          <w:i/>
        </w:rPr>
        <w:t>value for money</w:t>
      </w:r>
      <w:r w:rsidR="000B50CD">
        <w:rPr>
          <w:rFonts w:cstheme="minorHAnsi"/>
        </w:rPr>
        <w:t xml:space="preserve">): </w:t>
      </w:r>
      <w:r>
        <w:rPr>
          <w:rFonts w:cstheme="minorHAnsi"/>
        </w:rPr>
        <w:t>l</w:t>
      </w:r>
      <w:r w:rsidR="00672EDC">
        <w:rPr>
          <w:rFonts w:cstheme="minorHAnsi"/>
        </w:rPr>
        <w:t>e</w:t>
      </w:r>
      <w:r>
        <w:rPr>
          <w:rFonts w:cstheme="minorHAnsi"/>
        </w:rPr>
        <w:t xml:space="preserve"> nostre</w:t>
      </w:r>
      <w:r w:rsidR="00672EDC">
        <w:rPr>
          <w:rFonts w:cstheme="minorHAnsi"/>
        </w:rPr>
        <w:t xml:space="preserve"> stime </w:t>
      </w:r>
      <w:r w:rsidR="00672EDC">
        <w:t xml:space="preserve">preliminari </w:t>
      </w:r>
      <w:r w:rsidR="00E118ED">
        <w:t>dimostrano che</w:t>
      </w:r>
      <w:r>
        <w:t xml:space="preserve"> </w:t>
      </w:r>
      <w:r w:rsidR="00672EDC">
        <w:t>il 19% della spesa pubblica,</w:t>
      </w:r>
      <w:r>
        <w:t xml:space="preserve"> </w:t>
      </w:r>
      <w:r w:rsidR="00672EDC">
        <w:t>almeno il 40% di quella out-of-pocket ed il 50% di quella intermediata non producono alcun ritorno in termini di salute</w:t>
      </w:r>
      <w:r w:rsidRPr="00D26331">
        <w:rPr>
          <w:rFonts w:cstheme="minorHAnsi"/>
        </w:rPr>
        <w:t>»</w:t>
      </w:r>
      <w:r w:rsidR="00672EDC">
        <w:t>.</w:t>
      </w:r>
    </w:p>
    <w:p w:rsidR="00454813" w:rsidRDefault="00454813" w:rsidP="00672EDC">
      <w:pPr>
        <w:spacing w:after="0"/>
        <w:rPr>
          <w:rFonts w:cstheme="minorHAnsi"/>
        </w:rPr>
      </w:pPr>
    </w:p>
    <w:p w:rsidR="00774DA4" w:rsidRPr="00672EDC" w:rsidRDefault="00454813" w:rsidP="00672EDC">
      <w:pPr>
        <w:spacing w:after="0"/>
        <w:rPr>
          <w:rFonts w:cstheme="minorHAnsi"/>
        </w:rPr>
      </w:pPr>
      <w:r>
        <w:rPr>
          <w:rFonts w:cstheme="minorHAnsi"/>
        </w:rPr>
        <w:t xml:space="preserve">La terza sezione approfondisce le </w:t>
      </w:r>
      <w:r w:rsidRPr="00D258D8">
        <w:rPr>
          <w:rFonts w:cstheme="minorHAnsi"/>
          <w:b/>
        </w:rPr>
        <w:t xml:space="preserve">macro-determinanti </w:t>
      </w:r>
      <w:r w:rsidR="00D258D8" w:rsidRPr="00D258D8">
        <w:rPr>
          <w:rFonts w:cstheme="minorHAnsi"/>
          <w:b/>
        </w:rPr>
        <w:t xml:space="preserve">della </w:t>
      </w:r>
      <w:r w:rsidRPr="00D258D8">
        <w:rPr>
          <w:rFonts w:cstheme="minorHAnsi"/>
          <w:b/>
        </w:rPr>
        <w:t>crisi di sostenibilità</w:t>
      </w:r>
      <w:r>
        <w:rPr>
          <w:rFonts w:cstheme="minorHAnsi"/>
        </w:rPr>
        <w:t xml:space="preserve"> del SSN.</w:t>
      </w:r>
    </w:p>
    <w:p w:rsidR="00D258D8" w:rsidRDefault="00454813" w:rsidP="00D258D8">
      <w:pPr>
        <w:pStyle w:val="Paragrafoelenco"/>
        <w:numPr>
          <w:ilvl w:val="0"/>
          <w:numId w:val="23"/>
        </w:numPr>
        <w:spacing w:line="276" w:lineRule="auto"/>
        <w:rPr>
          <w:rFonts w:cstheme="minorHAnsi"/>
        </w:rPr>
      </w:pPr>
      <w:r w:rsidRPr="00D258D8">
        <w:rPr>
          <w:rFonts w:cstheme="minorHAnsi"/>
          <w:b/>
        </w:rPr>
        <w:t>Def</w:t>
      </w:r>
      <w:r w:rsidR="007A6FD9" w:rsidRPr="00D258D8">
        <w:rPr>
          <w:rFonts w:cstheme="minorHAnsi"/>
          <w:b/>
        </w:rPr>
        <w:t>inanziamento pubblico.</w:t>
      </w:r>
      <w:r w:rsidR="007A6FD9" w:rsidRPr="00D258D8">
        <w:rPr>
          <w:rFonts w:cstheme="minorHAnsi"/>
        </w:rPr>
        <w:t xml:space="preserve"> </w:t>
      </w:r>
      <w:r w:rsidR="00CC7338" w:rsidRPr="00D258D8">
        <w:rPr>
          <w:rFonts w:cstheme="minorHAnsi"/>
        </w:rPr>
        <w:t xml:space="preserve">Nel periodo 2013-2018 </w:t>
      </w:r>
      <w:r w:rsidR="000B50CD">
        <w:rPr>
          <w:rFonts w:cstheme="minorHAnsi"/>
        </w:rPr>
        <w:t xml:space="preserve">a fronte </w:t>
      </w:r>
      <w:r w:rsidR="00CC7338" w:rsidRPr="00D258D8">
        <w:rPr>
          <w:rFonts w:cstheme="minorHAnsi"/>
        </w:rPr>
        <w:t xml:space="preserve">di quasi € 7 </w:t>
      </w:r>
      <w:r w:rsidR="000B50CD">
        <w:rPr>
          <w:rFonts w:cstheme="minorHAnsi"/>
        </w:rPr>
        <w:t xml:space="preserve">miliardi di aumento </w:t>
      </w:r>
      <w:r w:rsidR="00AA0FE4">
        <w:rPr>
          <w:rFonts w:cstheme="minorHAnsi"/>
        </w:rPr>
        <w:t xml:space="preserve">nominale </w:t>
      </w:r>
      <w:r w:rsidR="000B50CD">
        <w:rPr>
          <w:rFonts w:cstheme="minorHAnsi"/>
        </w:rPr>
        <w:t>del finanziamento</w:t>
      </w:r>
      <w:r w:rsidR="00CC7338" w:rsidRPr="00D258D8">
        <w:rPr>
          <w:rFonts w:cstheme="minorHAnsi"/>
        </w:rPr>
        <w:t xml:space="preserve">, </w:t>
      </w:r>
      <w:r w:rsidR="00E672C7">
        <w:rPr>
          <w:rFonts w:cstheme="minorHAnsi"/>
        </w:rPr>
        <w:t xml:space="preserve">ne </w:t>
      </w:r>
      <w:r w:rsidR="00CC7338" w:rsidRPr="00D258D8">
        <w:rPr>
          <w:rFonts w:cstheme="minorHAnsi"/>
        </w:rPr>
        <w:t xml:space="preserve">sono “sopravvissuti” </w:t>
      </w:r>
      <w:r w:rsidR="00E672C7">
        <w:rPr>
          <w:rFonts w:cstheme="minorHAnsi"/>
        </w:rPr>
        <w:t xml:space="preserve">meno di </w:t>
      </w:r>
      <w:r w:rsidR="00CC7338" w:rsidRPr="00D258D8">
        <w:rPr>
          <w:rFonts w:cstheme="minorHAnsi"/>
        </w:rPr>
        <w:t xml:space="preserve">€ </w:t>
      </w:r>
      <w:r w:rsidR="00E672C7">
        <w:rPr>
          <w:rFonts w:cstheme="minorHAnsi"/>
        </w:rPr>
        <w:t>6</w:t>
      </w:r>
      <w:r w:rsidR="00CC7338" w:rsidRPr="00D258D8">
        <w:rPr>
          <w:rFonts w:cstheme="minorHAnsi"/>
        </w:rPr>
        <w:t xml:space="preserve">; nel periodo 2015-2018 l’attuazione degli obiettivi di finanza pubblica ha </w:t>
      </w:r>
      <w:r w:rsidR="00B254D8">
        <w:rPr>
          <w:rFonts w:cstheme="minorHAnsi"/>
        </w:rPr>
        <w:t>sottratto</w:t>
      </w:r>
      <w:r w:rsidR="00CC7338" w:rsidRPr="00D258D8">
        <w:rPr>
          <w:rFonts w:cstheme="minorHAnsi"/>
        </w:rPr>
        <w:t xml:space="preserve">, rispetto ai livelli programmati, € 12,11 </w:t>
      </w:r>
      <w:r w:rsidR="000B50CD">
        <w:rPr>
          <w:rFonts w:cstheme="minorHAnsi"/>
        </w:rPr>
        <w:t>miliardi</w:t>
      </w:r>
      <w:r w:rsidR="00CC7338" w:rsidRPr="00D258D8">
        <w:rPr>
          <w:rFonts w:cstheme="minorHAnsi"/>
        </w:rPr>
        <w:t>.</w:t>
      </w:r>
      <w:r w:rsidR="00712FB7" w:rsidRPr="00D258D8">
        <w:rPr>
          <w:rFonts w:cstheme="minorHAnsi"/>
        </w:rPr>
        <w:t xml:space="preserve"> «</w:t>
      </w:r>
      <w:r w:rsidR="000B50CD">
        <w:rPr>
          <w:rFonts w:cstheme="minorHAnsi"/>
        </w:rPr>
        <w:t xml:space="preserve">Con tale </w:t>
      </w:r>
      <w:r w:rsidR="00712FB7" w:rsidRPr="00D258D8">
        <w:rPr>
          <w:rFonts w:cstheme="minorHAnsi"/>
        </w:rPr>
        <w:lastRenderedPageBreak/>
        <w:t>definanziamento</w:t>
      </w:r>
      <w:r w:rsidR="000B50CD">
        <w:rPr>
          <w:rFonts w:cstheme="minorHAnsi"/>
        </w:rPr>
        <w:t xml:space="preserve"> progressivo</w:t>
      </w:r>
      <w:r w:rsidR="00712FB7" w:rsidRPr="00D258D8">
        <w:rPr>
          <w:rFonts w:cstheme="minorHAnsi"/>
        </w:rPr>
        <w:t xml:space="preserve"> – precisa Cartabellotta – </w:t>
      </w:r>
      <w:r w:rsidR="000B50CD">
        <w:rPr>
          <w:rFonts w:cstheme="minorHAnsi"/>
        </w:rPr>
        <w:t xml:space="preserve">l’Italia </w:t>
      </w:r>
      <w:r w:rsidR="007A6FD9" w:rsidRPr="00D258D8">
        <w:rPr>
          <w:rFonts w:cstheme="minorHAnsi"/>
        </w:rPr>
        <w:t xml:space="preserve">continua inesorabilmente a </w:t>
      </w:r>
      <w:r w:rsidR="00712FB7" w:rsidRPr="00D258D8">
        <w:rPr>
          <w:rFonts w:cstheme="minorHAnsi"/>
        </w:rPr>
        <w:t>perdere terreno</w:t>
      </w:r>
      <w:r w:rsidR="000B50CD">
        <w:rPr>
          <w:rFonts w:cstheme="minorHAnsi"/>
        </w:rPr>
        <w:t xml:space="preserve"> </w:t>
      </w:r>
      <w:r w:rsidR="000B50CD" w:rsidRPr="00D258D8">
        <w:rPr>
          <w:rFonts w:cstheme="minorHAnsi"/>
        </w:rPr>
        <w:t>nel confronto con gli altri paesi</w:t>
      </w:r>
      <w:r w:rsidR="00897CA1">
        <w:rPr>
          <w:rFonts w:cstheme="minorHAnsi"/>
        </w:rPr>
        <w:t xml:space="preserve">, con una </w:t>
      </w:r>
      <w:r w:rsidR="007A6FD9" w:rsidRPr="00D258D8">
        <w:rPr>
          <w:rFonts w:cstheme="minorHAnsi"/>
        </w:rPr>
        <w:t xml:space="preserve">% </w:t>
      </w:r>
      <w:r w:rsidR="00897CA1">
        <w:rPr>
          <w:rFonts w:cstheme="minorHAnsi"/>
        </w:rPr>
        <w:t>di</w:t>
      </w:r>
      <w:r w:rsidR="00897CA1" w:rsidRPr="00D258D8">
        <w:rPr>
          <w:rFonts w:cstheme="minorHAnsi"/>
        </w:rPr>
        <w:t xml:space="preserve"> </w:t>
      </w:r>
      <w:r w:rsidR="007A6FD9" w:rsidRPr="00D258D8">
        <w:rPr>
          <w:rFonts w:cstheme="minorHAnsi"/>
        </w:rPr>
        <w:t xml:space="preserve">PIL </w:t>
      </w:r>
      <w:r w:rsidR="00897CA1">
        <w:rPr>
          <w:rFonts w:cstheme="minorHAnsi"/>
        </w:rPr>
        <w:t>e una</w:t>
      </w:r>
      <w:r w:rsidR="007A6FD9" w:rsidRPr="00D258D8">
        <w:rPr>
          <w:rFonts w:cstheme="minorHAnsi"/>
        </w:rPr>
        <w:t xml:space="preserve"> spesa pro-capite</w:t>
      </w:r>
      <w:r w:rsidR="00CC7338" w:rsidRPr="00D258D8">
        <w:rPr>
          <w:rFonts w:cstheme="minorHAnsi"/>
        </w:rPr>
        <w:t xml:space="preserve"> inferiori</w:t>
      </w:r>
      <w:r w:rsidR="007A6FD9" w:rsidRPr="00D258D8">
        <w:rPr>
          <w:rFonts w:cstheme="minorHAnsi"/>
        </w:rPr>
        <w:t xml:space="preserve"> alla media OCSE</w:t>
      </w:r>
      <w:r w:rsidR="000B50CD">
        <w:rPr>
          <w:rFonts w:cstheme="minorHAnsi"/>
        </w:rPr>
        <w:t xml:space="preserve"> e </w:t>
      </w:r>
      <w:r w:rsidR="00897CA1">
        <w:rPr>
          <w:rFonts w:cstheme="minorHAnsi"/>
        </w:rPr>
        <w:t>che si avvicinano</w:t>
      </w:r>
      <w:r w:rsidR="00897CA1" w:rsidRPr="00D258D8">
        <w:rPr>
          <w:rFonts w:cstheme="minorHAnsi"/>
        </w:rPr>
        <w:t xml:space="preserve"> </w:t>
      </w:r>
      <w:r w:rsidR="000B50CD">
        <w:rPr>
          <w:rFonts w:cstheme="minorHAnsi"/>
        </w:rPr>
        <w:t xml:space="preserve">sempre di più </w:t>
      </w:r>
      <w:r w:rsidR="00897CA1">
        <w:rPr>
          <w:rFonts w:cstheme="minorHAnsi"/>
        </w:rPr>
        <w:t>ai</w:t>
      </w:r>
      <w:r w:rsidR="007A6FD9" w:rsidRPr="00D258D8">
        <w:rPr>
          <w:rFonts w:cstheme="minorHAnsi"/>
        </w:rPr>
        <w:t xml:space="preserve"> paesi dell’Europa Orientale».</w:t>
      </w:r>
      <w:r w:rsidR="007A6FD9" w:rsidRPr="00D258D8">
        <w:rPr>
          <w:rFonts w:cstheme="minorHAnsi"/>
          <w:i/>
        </w:rPr>
        <w:t xml:space="preserve"> </w:t>
      </w:r>
      <w:r w:rsidR="0000695A" w:rsidRPr="00D258D8">
        <w:rPr>
          <w:rFonts w:cstheme="minorHAnsi"/>
        </w:rPr>
        <w:t>N</w:t>
      </w:r>
      <w:r w:rsidR="0000695A">
        <w:rPr>
          <w:rFonts w:cstheme="minorHAnsi"/>
        </w:rPr>
        <w:t xml:space="preserve">essuna </w:t>
      </w:r>
      <w:r w:rsidR="00CC7338" w:rsidRPr="00D258D8">
        <w:rPr>
          <w:rFonts w:cstheme="minorHAnsi"/>
        </w:rPr>
        <w:t>luce in fondo al tunnel visto che il DEF 2018, a fronte di una prevista crescita annua del PIL nominale del 3% nel triennio 2018-2020, riduce il rapporto spesa sanitaria/PIL dal 6,6% del 2018 al 6,4% del 2019, al 6,3% nel 2020 e 2021.</w:t>
      </w:r>
    </w:p>
    <w:p w:rsidR="00D258D8" w:rsidRDefault="00454813" w:rsidP="00D258D8">
      <w:pPr>
        <w:pStyle w:val="Paragrafoelenco"/>
        <w:numPr>
          <w:ilvl w:val="0"/>
          <w:numId w:val="23"/>
        </w:numPr>
        <w:spacing w:line="276" w:lineRule="auto"/>
        <w:rPr>
          <w:rFonts w:cstheme="minorHAnsi"/>
        </w:rPr>
      </w:pPr>
      <w:r w:rsidRPr="00D258D8">
        <w:rPr>
          <w:rFonts w:cstheme="minorHAnsi"/>
          <w:b/>
        </w:rPr>
        <w:t>Sostenibilità ed esigibilità dei n</w:t>
      </w:r>
      <w:r w:rsidR="00F06C54" w:rsidRPr="00D258D8">
        <w:rPr>
          <w:rFonts w:cstheme="minorHAnsi"/>
          <w:b/>
        </w:rPr>
        <w:t>uovi LEA</w:t>
      </w:r>
      <w:r w:rsidR="00F06C54" w:rsidRPr="00D258D8">
        <w:rPr>
          <w:rFonts w:cstheme="minorHAnsi"/>
        </w:rPr>
        <w:t>.</w:t>
      </w:r>
      <w:r w:rsidR="00F06C54" w:rsidRPr="00D258D8">
        <w:rPr>
          <w:rFonts w:cstheme="minorHAnsi"/>
          <w:i/>
        </w:rPr>
        <w:t xml:space="preserve"> </w:t>
      </w:r>
      <w:r w:rsidR="00774DA4" w:rsidRPr="00D258D8">
        <w:rPr>
          <w:rFonts w:cstheme="minorHAnsi"/>
        </w:rPr>
        <w:t>I</w:t>
      </w:r>
      <w:r w:rsidR="00712FB7" w:rsidRPr="00D258D8">
        <w:rPr>
          <w:rFonts w:cstheme="minorHAnsi"/>
        </w:rPr>
        <w:t>l Rapporto analizza le criticità metodologiche per definire e aggiornare</w:t>
      </w:r>
      <w:r w:rsidR="00E91CC1">
        <w:rPr>
          <w:rFonts w:cstheme="minorHAnsi"/>
        </w:rPr>
        <w:t xml:space="preserve"> gli elenchi delle prestazioni e quelle che condizionano </w:t>
      </w:r>
      <w:r w:rsidR="00712FB7" w:rsidRPr="00D258D8">
        <w:rPr>
          <w:rFonts w:cstheme="minorHAnsi"/>
        </w:rPr>
        <w:t>erogazione e</w:t>
      </w:r>
      <w:r w:rsidR="00E91CC1">
        <w:rPr>
          <w:rFonts w:cstheme="minorHAnsi"/>
        </w:rPr>
        <w:t xml:space="preserve">d  </w:t>
      </w:r>
      <w:r w:rsidR="00712FB7" w:rsidRPr="00D258D8">
        <w:rPr>
          <w:rFonts w:cstheme="minorHAnsi"/>
        </w:rPr>
        <w:t>esigibilità dei nuovi LEA in maniera uniforme su tutto il territorio nazionale: «Nell’impossibilità di aumentare il finanziamento pubblico – sottolinea il Presidente –  è indispensabile rivalutare complessivamente tutte le prestazioni inserite nei LEA</w:t>
      </w:r>
      <w:r w:rsidR="00AA6191">
        <w:rPr>
          <w:rFonts w:cstheme="minorHAnsi"/>
        </w:rPr>
        <w:t xml:space="preserve"> </w:t>
      </w:r>
      <w:r w:rsidR="00712FB7" w:rsidRPr="00D258D8">
        <w:rPr>
          <w:rFonts w:cstheme="minorHAnsi"/>
        </w:rPr>
        <w:t xml:space="preserve"> al fine di </w:t>
      </w:r>
      <w:r w:rsidR="006A013E">
        <w:rPr>
          <w:rFonts w:cstheme="minorHAnsi"/>
        </w:rPr>
        <w:t>attuare</w:t>
      </w:r>
      <w:r w:rsidR="006A013E" w:rsidRPr="00D258D8">
        <w:rPr>
          <w:rFonts w:cstheme="minorHAnsi"/>
        </w:rPr>
        <w:t xml:space="preserve"> </w:t>
      </w:r>
      <w:r w:rsidR="00712FB7" w:rsidRPr="00D258D8">
        <w:rPr>
          <w:rFonts w:cstheme="minorHAnsi"/>
        </w:rPr>
        <w:t>un “co</w:t>
      </w:r>
      <w:r w:rsidR="00AA6191">
        <w:rPr>
          <w:rFonts w:cstheme="minorHAnsi"/>
        </w:rPr>
        <w:t xml:space="preserve">nsistente sfoltimento” e mettere </w:t>
      </w:r>
      <w:r w:rsidR="00712FB7" w:rsidRPr="00D258D8">
        <w:rPr>
          <w:rFonts w:cstheme="minorHAnsi"/>
        </w:rPr>
        <w:t>fine all’inaccettabile paradosso per cui in Italia convivono il “paniere LEA” più ricco (sulla carta) ed un finanziamento pubblico tra i più bassi d’Europa».</w:t>
      </w:r>
    </w:p>
    <w:p w:rsidR="00D258D8" w:rsidRDefault="00F06C54" w:rsidP="00D258D8">
      <w:pPr>
        <w:pStyle w:val="Paragrafoelenco"/>
        <w:numPr>
          <w:ilvl w:val="0"/>
          <w:numId w:val="23"/>
        </w:numPr>
        <w:spacing w:line="276" w:lineRule="auto"/>
        <w:rPr>
          <w:rFonts w:cstheme="minorHAnsi"/>
        </w:rPr>
      </w:pPr>
      <w:r w:rsidRPr="00D258D8">
        <w:rPr>
          <w:rFonts w:cstheme="minorHAnsi"/>
          <w:b/>
        </w:rPr>
        <w:t>Spechi e inefficienze</w:t>
      </w:r>
      <w:r w:rsidRPr="00D258D8">
        <w:rPr>
          <w:rFonts w:cstheme="minorHAnsi"/>
        </w:rPr>
        <w:t xml:space="preserve">. </w:t>
      </w:r>
      <w:r w:rsidR="00E91CC1">
        <w:rPr>
          <w:rFonts w:cstheme="minorHAnsi"/>
        </w:rPr>
        <w:t xml:space="preserve">Vengono </w:t>
      </w:r>
      <w:r w:rsidRPr="00D258D8">
        <w:rPr>
          <w:rFonts w:cstheme="minorHAnsi"/>
        </w:rPr>
        <w:t>aggiorna</w:t>
      </w:r>
      <w:r w:rsidR="00E91CC1">
        <w:rPr>
          <w:rFonts w:cstheme="minorHAnsi"/>
        </w:rPr>
        <w:t>te</w:t>
      </w:r>
      <w:r w:rsidRPr="00D258D8">
        <w:rPr>
          <w:rFonts w:cstheme="minorHAnsi"/>
        </w:rPr>
        <w:t xml:space="preserve"> le stime sull’impatto degli sprechi sulla spesa sanitaria pubblica 2017: € 2</w:t>
      </w:r>
      <w:r w:rsidR="003B1262" w:rsidRPr="00D258D8">
        <w:rPr>
          <w:rFonts w:cstheme="minorHAnsi"/>
        </w:rPr>
        <w:t>1</w:t>
      </w:r>
      <w:r w:rsidRPr="00D258D8">
        <w:rPr>
          <w:rFonts w:cstheme="minorHAnsi"/>
        </w:rPr>
        <w:t>,</w:t>
      </w:r>
      <w:r w:rsidR="003B1262" w:rsidRPr="00D258D8">
        <w:rPr>
          <w:rFonts w:cstheme="minorHAnsi"/>
        </w:rPr>
        <w:t>59</w:t>
      </w:r>
      <w:r w:rsidRPr="00D258D8">
        <w:rPr>
          <w:rFonts w:cstheme="minorHAnsi"/>
        </w:rPr>
        <w:t xml:space="preserve"> miliardi erosi da </w:t>
      </w:r>
      <w:r w:rsidR="007A6FD9" w:rsidRPr="00D258D8">
        <w:rPr>
          <w:rFonts w:cstheme="minorHAnsi"/>
        </w:rPr>
        <w:t>sovra-utilizzo di servizi e prestazioni sanitarie inefficaci o inappropriate</w:t>
      </w:r>
      <w:r w:rsidR="00D04C48">
        <w:rPr>
          <w:rFonts w:cstheme="minorHAnsi"/>
        </w:rPr>
        <w:t xml:space="preserve"> </w:t>
      </w:r>
      <w:r w:rsidR="000A226B" w:rsidRPr="00D258D8">
        <w:rPr>
          <w:rFonts w:cstheme="minorHAnsi"/>
        </w:rPr>
        <w:t>(€ 6,48 mld)</w:t>
      </w:r>
      <w:r w:rsidR="007A6FD9" w:rsidRPr="00D258D8">
        <w:rPr>
          <w:rFonts w:cstheme="minorHAnsi"/>
        </w:rPr>
        <w:t>, frodi e abusi</w:t>
      </w:r>
      <w:r w:rsidR="000A226B" w:rsidRPr="00D258D8">
        <w:rPr>
          <w:rFonts w:cstheme="minorHAnsi"/>
        </w:rPr>
        <w:t xml:space="preserve"> (€ 4,75 mld)</w:t>
      </w:r>
      <w:r w:rsidR="007A6FD9" w:rsidRPr="00D258D8">
        <w:rPr>
          <w:rFonts w:cstheme="minorHAnsi"/>
        </w:rPr>
        <w:t>, acquisti a costi eccessivi</w:t>
      </w:r>
      <w:r w:rsidR="000A226B" w:rsidRPr="00D258D8">
        <w:rPr>
          <w:rFonts w:cstheme="minorHAnsi"/>
        </w:rPr>
        <w:t xml:space="preserve"> (€ 2,16 mld)</w:t>
      </w:r>
      <w:r w:rsidR="007A6FD9" w:rsidRPr="00D258D8">
        <w:rPr>
          <w:rFonts w:cstheme="minorHAnsi"/>
        </w:rPr>
        <w:t>, sottoutilizzo di servizi e prestazioni efficaci e appropriate</w:t>
      </w:r>
      <w:r w:rsidR="000A226B" w:rsidRPr="00D258D8">
        <w:rPr>
          <w:rFonts w:cstheme="minorHAnsi"/>
        </w:rPr>
        <w:t xml:space="preserve"> (€ 3,24 mld)</w:t>
      </w:r>
      <w:r w:rsidR="007A6FD9" w:rsidRPr="00D258D8">
        <w:rPr>
          <w:rFonts w:cstheme="minorHAnsi"/>
        </w:rPr>
        <w:t>, complessità amministrative</w:t>
      </w:r>
      <w:r w:rsidR="000A226B" w:rsidRPr="00D258D8">
        <w:rPr>
          <w:rFonts w:cstheme="minorHAnsi"/>
        </w:rPr>
        <w:t xml:space="preserve"> (€ 2,37 mld)</w:t>
      </w:r>
      <w:r w:rsidR="007A6FD9" w:rsidRPr="00D258D8">
        <w:rPr>
          <w:rFonts w:cstheme="minorHAnsi"/>
        </w:rPr>
        <w:t>, inadeguat</w:t>
      </w:r>
      <w:r w:rsidR="00C56F97" w:rsidRPr="00D258D8">
        <w:rPr>
          <w:rFonts w:cstheme="minorHAnsi"/>
        </w:rPr>
        <w:t>o coordinamento dell’assistenza</w:t>
      </w:r>
      <w:r w:rsidR="000A226B" w:rsidRPr="00D258D8">
        <w:rPr>
          <w:rFonts w:cstheme="minorHAnsi"/>
        </w:rPr>
        <w:t xml:space="preserve"> (€ 2,59 mld)</w:t>
      </w:r>
      <w:r w:rsidRPr="00D258D8">
        <w:rPr>
          <w:rFonts w:cstheme="minorHAnsi"/>
        </w:rPr>
        <w:t>.</w:t>
      </w:r>
      <w:r w:rsidR="004B7AD5">
        <w:rPr>
          <w:rFonts w:cstheme="minorHAnsi"/>
        </w:rPr>
        <w:t xml:space="preserve"> Rispetto alle stime 2016</w:t>
      </w:r>
      <w:r w:rsidR="000815B7">
        <w:rPr>
          <w:rFonts w:cstheme="minorHAnsi"/>
        </w:rPr>
        <w:t>,</w:t>
      </w:r>
      <w:r w:rsidR="004B7AD5">
        <w:rPr>
          <w:rFonts w:cstheme="minorHAnsi"/>
        </w:rPr>
        <w:t xml:space="preserve"> s</w:t>
      </w:r>
      <w:r w:rsidR="00E91CC1">
        <w:rPr>
          <w:rFonts w:cstheme="minorHAnsi"/>
        </w:rPr>
        <w:t xml:space="preserve">i riconosce un </w:t>
      </w:r>
      <w:r w:rsidR="00E91CC1" w:rsidRPr="00D258D8">
        <w:rPr>
          <w:rFonts w:cstheme="minorHAnsi"/>
        </w:rPr>
        <w:t xml:space="preserve">recupero </w:t>
      </w:r>
      <w:r w:rsidR="00E91CC1">
        <w:rPr>
          <w:rFonts w:cstheme="minorHAnsi"/>
        </w:rPr>
        <w:t xml:space="preserve">complessivo </w:t>
      </w:r>
      <w:r w:rsidR="00E91CC1" w:rsidRPr="00D258D8">
        <w:rPr>
          <w:rFonts w:cstheme="minorHAnsi"/>
        </w:rPr>
        <w:t>di oltre € 1,3 miliardi, grazie ai numerosi interventi messi in atto</w:t>
      </w:r>
      <w:r w:rsidR="00E91CC1">
        <w:rPr>
          <w:rFonts w:cstheme="minorHAnsi"/>
        </w:rPr>
        <w:t>.</w:t>
      </w:r>
    </w:p>
    <w:p w:rsidR="00BC76D0" w:rsidRDefault="009E3F63" w:rsidP="006C0A34">
      <w:pPr>
        <w:pStyle w:val="Paragrafoelenco"/>
        <w:numPr>
          <w:ilvl w:val="0"/>
          <w:numId w:val="23"/>
        </w:numPr>
        <w:spacing w:line="276" w:lineRule="auto"/>
        <w:rPr>
          <w:rFonts w:cstheme="minorHAnsi"/>
        </w:rPr>
      </w:pPr>
      <w:r w:rsidRPr="00D258D8">
        <w:rPr>
          <w:rFonts w:cstheme="minorHAnsi"/>
          <w:b/>
        </w:rPr>
        <w:t>Espansione del secondo pilastro</w:t>
      </w:r>
      <w:r w:rsidRPr="00D258D8">
        <w:rPr>
          <w:rFonts w:cstheme="minorHAnsi"/>
        </w:rPr>
        <w:t xml:space="preserve">. </w:t>
      </w:r>
      <w:r w:rsidR="00B96704" w:rsidRPr="00D258D8">
        <w:rPr>
          <w:rFonts w:cstheme="minorHAnsi"/>
        </w:rPr>
        <w:t>«</w:t>
      </w:r>
      <w:r w:rsidR="00535A6B" w:rsidRPr="00D258D8">
        <w:rPr>
          <w:rFonts w:cstheme="minorHAnsi"/>
        </w:rPr>
        <w:t>L</w:t>
      </w:r>
      <w:r w:rsidR="00E91CC1">
        <w:rPr>
          <w:rFonts w:cstheme="minorHAnsi"/>
        </w:rPr>
        <w:t xml:space="preserve">a proposta </w:t>
      </w:r>
      <w:r w:rsidR="00535A6B" w:rsidRPr="00D258D8">
        <w:rPr>
          <w:rFonts w:cstheme="minorHAnsi"/>
        </w:rPr>
        <w:t xml:space="preserve">di affidarsi al “secondo pilastro” per garantire la sostenibilità del SSN </w:t>
      </w:r>
      <w:r w:rsidR="00E91CC1" w:rsidRPr="00D258D8">
        <w:rPr>
          <w:rFonts w:cstheme="minorHAnsi"/>
        </w:rPr>
        <w:t>– spiega il Presidente</w:t>
      </w:r>
      <w:r w:rsidR="00E91CC1">
        <w:rPr>
          <w:rFonts w:cstheme="minorHAnsi"/>
        </w:rPr>
        <w:t xml:space="preserve"> </w:t>
      </w:r>
      <w:r w:rsidR="00BC76D0" w:rsidRPr="00D258D8">
        <w:rPr>
          <w:rFonts w:cstheme="minorHAnsi"/>
        </w:rPr>
        <w:t>–</w:t>
      </w:r>
      <w:r w:rsidR="00BC76D0">
        <w:rPr>
          <w:rFonts w:cstheme="minorHAnsi"/>
        </w:rPr>
        <w:t xml:space="preserve"> </w:t>
      </w:r>
      <w:r w:rsidR="00535A6B" w:rsidRPr="00D258D8">
        <w:rPr>
          <w:rFonts w:cstheme="minorHAnsi"/>
        </w:rPr>
        <w:t xml:space="preserve">si è progressivamente affermata per l’interazione di </w:t>
      </w:r>
      <w:r w:rsidR="006A013E">
        <w:rPr>
          <w:rFonts w:cstheme="minorHAnsi"/>
        </w:rPr>
        <w:t>vari</w:t>
      </w:r>
      <w:r w:rsidR="006A013E" w:rsidRPr="00D258D8">
        <w:rPr>
          <w:rFonts w:cstheme="minorHAnsi"/>
        </w:rPr>
        <w:t xml:space="preserve"> </w:t>
      </w:r>
      <w:r w:rsidR="00535A6B" w:rsidRPr="00D258D8">
        <w:rPr>
          <w:rFonts w:cstheme="minorHAnsi"/>
        </w:rPr>
        <w:t>fattori</w:t>
      </w:r>
      <w:r w:rsidR="00BC76D0">
        <w:rPr>
          <w:rFonts w:cstheme="minorHAnsi"/>
        </w:rPr>
        <w:t xml:space="preserve">: in particolare, </w:t>
      </w:r>
      <w:r w:rsidR="00CD683F">
        <w:rPr>
          <w:rFonts w:cstheme="minorHAnsi"/>
        </w:rPr>
        <w:t xml:space="preserve">nelle </w:t>
      </w:r>
      <w:r w:rsidR="000815B7">
        <w:rPr>
          <w:rFonts w:cstheme="minorHAnsi"/>
        </w:rPr>
        <w:t>crepe</w:t>
      </w:r>
      <w:r w:rsidR="00CD683F">
        <w:rPr>
          <w:rFonts w:cstheme="minorHAnsi"/>
        </w:rPr>
        <w:t xml:space="preserve"> di una </w:t>
      </w:r>
      <w:r w:rsidR="00774DA4" w:rsidRPr="00D258D8">
        <w:rPr>
          <w:rFonts w:cstheme="minorHAnsi"/>
        </w:rPr>
        <w:t xml:space="preserve">normativa frammentata e incompleta che ha permesso alla sanità integrativa di diventare sostitutiva </w:t>
      </w:r>
      <w:r w:rsidR="00E672C7">
        <w:rPr>
          <w:rFonts w:cstheme="minorHAnsi"/>
        </w:rPr>
        <w:t>s</w:t>
      </w:r>
      <w:r w:rsidR="00BC76D0">
        <w:rPr>
          <w:rFonts w:cstheme="minorHAnsi"/>
        </w:rPr>
        <w:t xml:space="preserve">i </w:t>
      </w:r>
      <w:r w:rsidR="00E672C7">
        <w:rPr>
          <w:rFonts w:cstheme="minorHAnsi"/>
        </w:rPr>
        <w:t xml:space="preserve">è </w:t>
      </w:r>
      <w:r w:rsidR="001D240E" w:rsidRPr="000815B7">
        <w:rPr>
          <w:rFonts w:cstheme="minorHAnsi"/>
        </w:rPr>
        <w:t xml:space="preserve">insinuata </w:t>
      </w:r>
      <w:r w:rsidR="00535A6B" w:rsidRPr="00D258D8">
        <w:rPr>
          <w:rFonts w:cstheme="minorHAnsi"/>
        </w:rPr>
        <w:t>una raffinata strategia di</w:t>
      </w:r>
      <w:r w:rsidR="00774DA4" w:rsidRPr="00D258D8">
        <w:rPr>
          <w:rFonts w:cstheme="minorHAnsi"/>
        </w:rPr>
        <w:t xml:space="preserve"> marketing </w:t>
      </w:r>
      <w:r w:rsidR="00E672C7">
        <w:rPr>
          <w:rFonts w:cstheme="minorHAnsi"/>
        </w:rPr>
        <w:t xml:space="preserve"> alimentata da catastrofici, ma inverosimili, risultati sulla rinuncia alle cure</w:t>
      </w:r>
      <w:r w:rsidR="00774DA4" w:rsidRPr="00D258D8">
        <w:rPr>
          <w:rFonts w:cstheme="minorHAnsi"/>
        </w:rPr>
        <w:t>».</w:t>
      </w:r>
      <w:r w:rsidR="00535A6B" w:rsidRPr="00D258D8">
        <w:rPr>
          <w:rFonts w:cstheme="minorHAnsi"/>
        </w:rPr>
        <w:t xml:space="preserve"> Il Rapporto analizza in dettaglio il complesso ecosistema dei “terzi paganti” in sanità, le coperture offerte, l’impatto di fondi sanitari e polizze assicurative sulla spesa sanitaria e tutti i potenziali “effetti collaterali” del secondo pilastro: dai rischi per la sostenibilità a quelli di privatizzazione, dall’aumento delle diseguaglianze all’incremento della spesa sanitaria, dal sovra-utilizzo di prestazioni sanitarie alla frammentazione dei percorsi assistenziali.</w:t>
      </w:r>
    </w:p>
    <w:p w:rsidR="00BC76D0" w:rsidRPr="00BC76D0" w:rsidRDefault="00BC76D0" w:rsidP="00BC76D0">
      <w:pPr>
        <w:pStyle w:val="Paragrafoelenco"/>
        <w:spacing w:line="276" w:lineRule="auto"/>
        <w:ind w:left="360"/>
        <w:rPr>
          <w:rFonts w:cstheme="minorHAnsi"/>
        </w:rPr>
      </w:pPr>
    </w:p>
    <w:p w:rsidR="00CC6E1E" w:rsidRDefault="004469F9" w:rsidP="006C0A34">
      <w:pPr>
        <w:rPr>
          <w:rFonts w:cstheme="minorHAnsi"/>
        </w:rPr>
      </w:pPr>
      <w:r>
        <w:rPr>
          <w:rFonts w:cstheme="minorHAnsi"/>
        </w:rPr>
        <w:t xml:space="preserve">Rispetto alla </w:t>
      </w:r>
      <w:r w:rsidRPr="00D258D8">
        <w:rPr>
          <w:rFonts w:cstheme="minorHAnsi"/>
          <w:b/>
        </w:rPr>
        <w:t>rivalutazione della “prognosi”</w:t>
      </w:r>
      <w:r w:rsidR="00CC6E1E" w:rsidRPr="00D258D8">
        <w:rPr>
          <w:rFonts w:cstheme="minorHAnsi"/>
          <w:b/>
        </w:rPr>
        <w:t xml:space="preserve"> del SSN al 202</w:t>
      </w:r>
      <w:r w:rsidRPr="00D258D8">
        <w:rPr>
          <w:rFonts w:cstheme="minorHAnsi"/>
          <w:b/>
        </w:rPr>
        <w:t>5</w:t>
      </w:r>
      <w:r>
        <w:rPr>
          <w:rFonts w:cstheme="minorHAnsi"/>
        </w:rPr>
        <w:t xml:space="preserve"> </w:t>
      </w:r>
      <w:r w:rsidR="00CC6E1E">
        <w:rPr>
          <w:rFonts w:cstheme="minorHAnsi"/>
        </w:rPr>
        <w:t>s</w:t>
      </w:r>
      <w:r w:rsidR="00243F05" w:rsidRPr="005240BD">
        <w:rPr>
          <w:rFonts w:cstheme="minorHAnsi"/>
          <w:color w:val="000000" w:themeColor="text1"/>
        </w:rPr>
        <w:t>econdo le stime</w:t>
      </w:r>
      <w:r>
        <w:rPr>
          <w:rFonts w:cstheme="minorHAnsi"/>
          <w:color w:val="000000" w:themeColor="text1"/>
        </w:rPr>
        <w:t xml:space="preserve"> </w:t>
      </w:r>
      <w:r w:rsidR="00CC6E1E">
        <w:rPr>
          <w:rFonts w:cstheme="minorHAnsi"/>
          <w:color w:val="000000" w:themeColor="text1"/>
        </w:rPr>
        <w:t xml:space="preserve">del Rapporto GIMBE </w:t>
      </w:r>
      <w:r w:rsidR="000B2168" w:rsidRPr="005240BD">
        <w:rPr>
          <w:rFonts w:cstheme="minorHAnsi"/>
        </w:rPr>
        <w:t xml:space="preserve">il fabbisogno </w:t>
      </w:r>
      <w:r w:rsidR="00243F05" w:rsidRPr="005240BD">
        <w:rPr>
          <w:rFonts w:cstheme="minorHAnsi"/>
        </w:rPr>
        <w:t>del SSN sarà</w:t>
      </w:r>
      <w:r w:rsidR="00243F05" w:rsidRPr="005240BD">
        <w:rPr>
          <w:rFonts w:cstheme="minorHAnsi"/>
          <w:color w:val="000000" w:themeColor="text1"/>
        </w:rPr>
        <w:t xml:space="preserve"> di</w:t>
      </w:r>
      <w:r w:rsidR="008E190A" w:rsidRPr="005240BD">
        <w:rPr>
          <w:rFonts w:cstheme="minorHAnsi"/>
          <w:color w:val="000000" w:themeColor="text1"/>
        </w:rPr>
        <w:t xml:space="preserve"> </w:t>
      </w:r>
      <w:r w:rsidR="00685DB6" w:rsidRPr="005240BD">
        <w:rPr>
          <w:rFonts w:cstheme="minorHAnsi"/>
          <w:color w:val="000000" w:themeColor="text1"/>
        </w:rPr>
        <w:t xml:space="preserve">€ </w:t>
      </w:r>
      <w:r w:rsidR="008E190A" w:rsidRPr="005240BD">
        <w:rPr>
          <w:rFonts w:cstheme="minorHAnsi"/>
          <w:color w:val="000000" w:themeColor="text1"/>
        </w:rPr>
        <w:t>2</w:t>
      </w:r>
      <w:r w:rsidR="00712AC4" w:rsidRPr="005240BD">
        <w:rPr>
          <w:rFonts w:cstheme="minorHAnsi"/>
          <w:color w:val="000000" w:themeColor="text1"/>
        </w:rPr>
        <w:t>2</w:t>
      </w:r>
      <w:r w:rsidR="00994D71" w:rsidRPr="005240BD">
        <w:rPr>
          <w:rFonts w:cstheme="minorHAnsi"/>
          <w:color w:val="000000" w:themeColor="text1"/>
        </w:rPr>
        <w:t>0 mili</w:t>
      </w:r>
      <w:r w:rsidR="00994D71" w:rsidRPr="005240BD">
        <w:rPr>
          <w:rFonts w:cstheme="minorHAnsi"/>
        </w:rPr>
        <w:t>ardi</w:t>
      </w:r>
      <w:r w:rsidR="001020FC">
        <w:rPr>
          <w:rFonts w:cstheme="minorHAnsi"/>
        </w:rPr>
        <w:t xml:space="preserve">: un </w:t>
      </w:r>
      <w:r w:rsidRPr="004469F9">
        <w:rPr>
          <w:rFonts w:cstheme="minorHAnsi"/>
        </w:rPr>
        <w:t>incremento</w:t>
      </w:r>
      <w:r w:rsidR="001020FC">
        <w:rPr>
          <w:rFonts w:cstheme="minorHAnsi"/>
        </w:rPr>
        <w:t xml:space="preserve"> stimato</w:t>
      </w:r>
      <w:r w:rsidRPr="004469F9">
        <w:rPr>
          <w:rFonts w:cstheme="minorHAnsi"/>
        </w:rPr>
        <w:t xml:space="preserve"> della spe</w:t>
      </w:r>
      <w:r>
        <w:rPr>
          <w:rFonts w:cstheme="minorHAnsi"/>
        </w:rPr>
        <w:t xml:space="preserve">sa sanitaria totale nel periodo </w:t>
      </w:r>
      <w:r w:rsidRPr="004469F9">
        <w:rPr>
          <w:rFonts w:cstheme="minorHAnsi"/>
        </w:rPr>
        <w:t xml:space="preserve">2017-2025 </w:t>
      </w:r>
      <w:r>
        <w:rPr>
          <w:rFonts w:cstheme="minorHAnsi"/>
        </w:rPr>
        <w:t>di</w:t>
      </w:r>
      <w:r w:rsidR="00BC76D0">
        <w:rPr>
          <w:rFonts w:cstheme="minorHAnsi"/>
        </w:rPr>
        <w:t xml:space="preserve"> € 27 miliardi (€ 9 miliardi </w:t>
      </w:r>
      <w:r w:rsidRPr="004469F9">
        <w:rPr>
          <w:rFonts w:cstheme="minorHAnsi"/>
        </w:rPr>
        <w:t>pu</w:t>
      </w:r>
      <w:r w:rsidR="00BC76D0">
        <w:rPr>
          <w:rFonts w:cstheme="minorHAnsi"/>
        </w:rPr>
        <w:t xml:space="preserve">bblica e € 18 miliardi </w:t>
      </w:r>
      <w:r w:rsidRPr="004469F9">
        <w:rPr>
          <w:rFonts w:cstheme="minorHAnsi"/>
        </w:rPr>
        <w:t>privata) permetterebbe</w:t>
      </w:r>
      <w:r w:rsidR="001020FC">
        <w:rPr>
          <w:rFonts w:cstheme="minorHAnsi"/>
        </w:rPr>
        <w:t xml:space="preserve"> </w:t>
      </w:r>
      <w:r w:rsidRPr="004469F9">
        <w:rPr>
          <w:rFonts w:cstheme="minorHAnsi"/>
        </w:rPr>
        <w:t>di raggiungere nel 2025 una c</w:t>
      </w:r>
      <w:r>
        <w:rPr>
          <w:rFonts w:cstheme="minorHAnsi"/>
        </w:rPr>
        <w:t xml:space="preserve">ifra di poco superiore ai € 184 </w:t>
      </w:r>
      <w:r w:rsidRPr="004469F9">
        <w:rPr>
          <w:rFonts w:cstheme="minorHAnsi"/>
        </w:rPr>
        <w:t xml:space="preserve">miliardi. </w:t>
      </w:r>
      <w:r>
        <w:rPr>
          <w:rFonts w:cstheme="minorHAnsi"/>
        </w:rPr>
        <w:t xml:space="preserve">A questi </w:t>
      </w:r>
      <w:r w:rsidR="00BC76D0">
        <w:rPr>
          <w:rFonts w:cstheme="minorHAnsi"/>
        </w:rPr>
        <w:t xml:space="preserve">si </w:t>
      </w:r>
      <w:r>
        <w:rPr>
          <w:rFonts w:cstheme="minorHAnsi"/>
        </w:rPr>
        <w:t>aggiunger</w:t>
      </w:r>
      <w:r w:rsidR="00BC76D0">
        <w:rPr>
          <w:rFonts w:cstheme="minorHAnsi"/>
        </w:rPr>
        <w:t xml:space="preserve">ebbero </w:t>
      </w:r>
      <w:r w:rsidR="00CF77DC">
        <w:rPr>
          <w:rFonts w:cstheme="minorHAnsi"/>
        </w:rPr>
        <w:t xml:space="preserve">circa € 15 miliardi dal </w:t>
      </w:r>
      <w:r w:rsidRPr="004469F9">
        <w:rPr>
          <w:rFonts w:cstheme="minorHAnsi"/>
        </w:rPr>
        <w:t>recupero</w:t>
      </w:r>
      <w:r>
        <w:rPr>
          <w:rFonts w:cstheme="minorHAnsi"/>
        </w:rPr>
        <w:t xml:space="preserve"> </w:t>
      </w:r>
      <w:r w:rsidR="00CF77DC">
        <w:rPr>
          <w:rFonts w:cstheme="minorHAnsi"/>
        </w:rPr>
        <w:t xml:space="preserve">graduale </w:t>
      </w:r>
      <w:r>
        <w:rPr>
          <w:rFonts w:cstheme="minorHAnsi"/>
        </w:rPr>
        <w:t xml:space="preserve">di risorse dal disinvestimento </w:t>
      </w:r>
      <w:r w:rsidRPr="004469F9">
        <w:rPr>
          <w:rFonts w:cstheme="minorHAnsi"/>
        </w:rPr>
        <w:t>da sprechi e inefficienze</w:t>
      </w:r>
      <w:r w:rsidR="00844B59">
        <w:rPr>
          <w:rFonts w:cstheme="minorHAnsi"/>
        </w:rPr>
        <w:t xml:space="preserve"> (</w:t>
      </w:r>
      <w:r w:rsidR="00BC76D0">
        <w:rPr>
          <w:rFonts w:cstheme="minorHAnsi"/>
        </w:rPr>
        <w:t>per complessivi</w:t>
      </w:r>
      <w:r w:rsidRPr="004469F9">
        <w:rPr>
          <w:rFonts w:cstheme="minorHAnsi"/>
        </w:rPr>
        <w:t xml:space="preserve"> € 70 miliardi </w:t>
      </w:r>
      <w:r w:rsidR="00FE5B99">
        <w:rPr>
          <w:rFonts w:cstheme="minorHAnsi"/>
        </w:rPr>
        <w:t xml:space="preserve">complessivi </w:t>
      </w:r>
      <w:r w:rsidRPr="004469F9">
        <w:rPr>
          <w:rFonts w:cstheme="minorHAnsi"/>
        </w:rPr>
        <w:t>nel periodo 2017-2025</w:t>
      </w:r>
      <w:r w:rsidR="00844B59">
        <w:rPr>
          <w:rFonts w:cstheme="minorHAnsi"/>
        </w:rPr>
        <w:t>)</w:t>
      </w:r>
      <w:r w:rsidR="00CC6E1E" w:rsidRPr="005240BD">
        <w:rPr>
          <w:rFonts w:cstheme="minorHAnsi"/>
        </w:rPr>
        <w:t>.</w:t>
      </w:r>
      <w:r w:rsidR="00CC6E1E">
        <w:rPr>
          <w:rFonts w:cstheme="minorHAnsi"/>
        </w:rPr>
        <w:t xml:space="preserve">  </w:t>
      </w:r>
      <w:r w:rsidR="00CC6E1E" w:rsidRPr="005240BD">
        <w:rPr>
          <w:rFonts w:cstheme="minorHAnsi"/>
        </w:rPr>
        <w:t xml:space="preserve">«Nonostante la stima </w:t>
      </w:r>
      <w:r w:rsidR="00F5033A">
        <w:rPr>
          <w:rFonts w:cstheme="minorHAnsi"/>
        </w:rPr>
        <w:t>della spesa totale</w:t>
      </w:r>
      <w:r w:rsidR="00CC6E1E" w:rsidRPr="005240BD">
        <w:rPr>
          <w:rFonts w:cstheme="minorHAnsi"/>
        </w:rPr>
        <w:t xml:space="preserve"> sia conservativa </w:t>
      </w:r>
      <w:r w:rsidR="00CC6E1E">
        <w:rPr>
          <w:rFonts w:cstheme="minorHAnsi"/>
        </w:rPr>
        <w:t xml:space="preserve">- precisa Cartabellotta - </w:t>
      </w:r>
      <w:r w:rsidR="00CC6E1E" w:rsidRPr="005240BD">
        <w:rPr>
          <w:rFonts w:cstheme="minorHAnsi"/>
        </w:rPr>
        <w:t xml:space="preserve">e il disinvestimento estremamente impegnativo, per raggiungere il fabbisogno stimato mancherebbero comunque ancora € 20,5 miliardi, una cifra </w:t>
      </w:r>
      <w:r w:rsidR="00F5033A">
        <w:rPr>
          <w:rFonts w:cstheme="minorHAnsi"/>
        </w:rPr>
        <w:t xml:space="preserve">che impone </w:t>
      </w:r>
      <w:r w:rsidR="00CC6E1E">
        <w:rPr>
          <w:rFonts w:cstheme="minorHAnsi"/>
        </w:rPr>
        <w:t>scelte politiche ben precise</w:t>
      </w:r>
      <w:r w:rsidR="00CC6E1E" w:rsidRPr="005240BD">
        <w:rPr>
          <w:rFonts w:cstheme="minorHAnsi"/>
        </w:rPr>
        <w:t>».</w:t>
      </w:r>
      <w:r w:rsidR="00CC6E1E">
        <w:rPr>
          <w:rFonts w:cstheme="minorHAnsi"/>
        </w:rPr>
        <w:t xml:space="preserve"> </w:t>
      </w:r>
      <w:r w:rsidR="00330A9B">
        <w:rPr>
          <w:rFonts w:cstheme="minorHAnsi"/>
        </w:rPr>
        <w:t xml:space="preserve">In altri termini </w:t>
      </w:r>
      <w:r w:rsidR="00F5033A">
        <w:rPr>
          <w:rFonts w:cstheme="minorHAnsi"/>
        </w:rPr>
        <w:t xml:space="preserve">secondo </w:t>
      </w:r>
      <w:r w:rsidR="00330A9B">
        <w:rPr>
          <w:rFonts w:cstheme="minorHAnsi"/>
        </w:rPr>
        <w:t xml:space="preserve">il Presidente </w:t>
      </w:r>
      <w:r w:rsidR="00330A9B" w:rsidRPr="005240BD">
        <w:rPr>
          <w:rFonts w:cstheme="minorHAnsi"/>
        </w:rPr>
        <w:t>«</w:t>
      </w:r>
      <w:r w:rsidR="00330A9B">
        <w:rPr>
          <w:rFonts w:cstheme="minorHAnsi"/>
        </w:rPr>
        <w:t xml:space="preserve">visto che </w:t>
      </w:r>
      <w:r w:rsidR="00330A9B" w:rsidRPr="005240BD">
        <w:rPr>
          <w:rFonts w:cstheme="minorHAnsi"/>
        </w:rPr>
        <w:t xml:space="preserve">la soluzione non è </w:t>
      </w:r>
      <w:r w:rsidR="00330A9B">
        <w:rPr>
          <w:rFonts w:cstheme="minorHAnsi"/>
        </w:rPr>
        <w:t xml:space="preserve">sicuramente </w:t>
      </w:r>
      <w:r w:rsidR="00330A9B" w:rsidRPr="005240BD">
        <w:rPr>
          <w:rFonts w:cstheme="minorHAnsi"/>
        </w:rPr>
        <w:t xml:space="preserve">rappresentata </w:t>
      </w:r>
      <w:r w:rsidR="00330A9B">
        <w:rPr>
          <w:rFonts w:cstheme="minorHAnsi"/>
        </w:rPr>
        <w:t xml:space="preserve">dal “secondo pilastro”, senza </w:t>
      </w:r>
      <w:r w:rsidR="00330A9B" w:rsidRPr="005240BD">
        <w:rPr>
          <w:rFonts w:cstheme="minorHAnsi"/>
        </w:rPr>
        <w:t>un consistente rila</w:t>
      </w:r>
      <w:r w:rsidR="00330A9B">
        <w:rPr>
          <w:rFonts w:cstheme="minorHAnsi"/>
        </w:rPr>
        <w:t xml:space="preserve">ncio del finanziamento pubblico </w:t>
      </w:r>
      <w:r w:rsidR="00330A9B" w:rsidRPr="005240BD">
        <w:rPr>
          <w:rFonts w:cstheme="minorHAnsi"/>
        </w:rPr>
        <w:t>sarà impossibile mantenere un servizio sanitario pubblico equo e universalistico</w:t>
      </w:r>
      <w:r w:rsidR="00AC3E12" w:rsidRPr="005240BD">
        <w:rPr>
          <w:rFonts w:cstheme="minorHAnsi"/>
        </w:rPr>
        <w:t>»</w:t>
      </w:r>
      <w:r w:rsidR="00330A9B" w:rsidRPr="005240BD">
        <w:rPr>
          <w:rFonts w:cstheme="minorHAnsi"/>
        </w:rPr>
        <w:t>.</w:t>
      </w:r>
    </w:p>
    <w:p w:rsidR="00CC6E1E" w:rsidRDefault="001020FC" w:rsidP="005074D5">
      <w:pPr>
        <w:rPr>
          <w:rFonts w:cstheme="minorHAnsi"/>
        </w:rPr>
      </w:pPr>
      <w:r>
        <w:rPr>
          <w:rFonts w:cstheme="minorHAnsi"/>
        </w:rPr>
        <w:t xml:space="preserve">Il Rapporto si chiude con il </w:t>
      </w:r>
      <w:r w:rsidR="00CC6E1E">
        <w:rPr>
          <w:rFonts w:cstheme="minorHAnsi"/>
        </w:rPr>
        <w:t xml:space="preserve">“piano di salvataggio” del SSN </w:t>
      </w:r>
      <w:r w:rsidR="00CC6E1E" w:rsidRPr="00CC6E1E">
        <w:rPr>
          <w:rFonts w:cstheme="minorHAnsi"/>
        </w:rPr>
        <w:t>elaborato dalla Fondazione GIMBE</w:t>
      </w:r>
      <w:r w:rsidR="00FA1696">
        <w:rPr>
          <w:rFonts w:cstheme="minorHAnsi"/>
        </w:rPr>
        <w:t>:</w:t>
      </w:r>
      <w:r w:rsidR="00CC6E1E">
        <w:rPr>
          <w:rFonts w:cstheme="minorHAnsi"/>
        </w:rPr>
        <w:t xml:space="preserve"> </w:t>
      </w:r>
      <w:r w:rsidR="00330A9B" w:rsidRPr="005240BD">
        <w:rPr>
          <w:rFonts w:cstheme="minorHAnsi"/>
        </w:rPr>
        <w:t>«</w:t>
      </w:r>
      <w:r w:rsidR="00D258D8" w:rsidRPr="005240BD">
        <w:rPr>
          <w:rFonts w:cstheme="minorHAnsi"/>
        </w:rPr>
        <w:t>Visto che le azioni del prossimo Esecutivo saranno cruciali per il futuro del SSN</w:t>
      </w:r>
      <w:r w:rsidR="00330A9B">
        <w:rPr>
          <w:rFonts w:cstheme="minorHAnsi"/>
        </w:rPr>
        <w:t xml:space="preserve"> – conclude Cartabellotta </w:t>
      </w:r>
      <w:r w:rsidR="00844B59">
        <w:rPr>
          <w:rFonts w:cstheme="minorHAnsi"/>
        </w:rPr>
        <w:t>–</w:t>
      </w:r>
      <w:r w:rsidR="00330A9B">
        <w:rPr>
          <w:rFonts w:cstheme="minorHAnsi"/>
        </w:rPr>
        <w:t xml:space="preserve"> </w:t>
      </w:r>
      <w:r w:rsidR="00D258D8" w:rsidRPr="005240BD">
        <w:rPr>
          <w:rFonts w:cstheme="minorHAnsi"/>
        </w:rPr>
        <w:t xml:space="preserve"> </w:t>
      </w:r>
      <w:r>
        <w:rPr>
          <w:rFonts w:cstheme="minorHAnsi"/>
        </w:rPr>
        <w:t>i</w:t>
      </w:r>
      <w:r w:rsidRPr="00CC6E1E">
        <w:rPr>
          <w:rFonts w:cstheme="minorHAnsi"/>
        </w:rPr>
        <w:t xml:space="preserve"> 12 punti programmatici del “piano di salvataggio”</w:t>
      </w:r>
      <w:r>
        <w:rPr>
          <w:rFonts w:cstheme="minorHAnsi"/>
        </w:rPr>
        <w:t xml:space="preserve"> </w:t>
      </w:r>
      <w:r w:rsidRPr="00CC6E1E">
        <w:rPr>
          <w:rFonts w:cstheme="minorHAnsi"/>
        </w:rPr>
        <w:t>c</w:t>
      </w:r>
      <w:r>
        <w:rPr>
          <w:rFonts w:cstheme="minorHAnsi"/>
        </w:rPr>
        <w:t xml:space="preserve">ostituiranno il riferimento </w:t>
      </w:r>
      <w:r w:rsidR="00AC3E12">
        <w:rPr>
          <w:rFonts w:cstheme="minorHAnsi"/>
        </w:rPr>
        <w:t>del</w:t>
      </w:r>
      <w:r>
        <w:rPr>
          <w:rFonts w:cstheme="minorHAnsi"/>
        </w:rPr>
        <w:t xml:space="preserve">l’Osservatorio GIMBE per </w:t>
      </w:r>
      <w:r w:rsidRPr="00CC6E1E">
        <w:rPr>
          <w:rFonts w:cstheme="minorHAnsi"/>
        </w:rPr>
        <w:t>monitorare il programma di Governo per la sanità</w:t>
      </w:r>
      <w:r w:rsidR="00BC76D0">
        <w:rPr>
          <w:rFonts w:cstheme="minorHAnsi"/>
        </w:rPr>
        <w:t xml:space="preserve"> perché i</w:t>
      </w:r>
      <w:r w:rsidR="00AC3E12">
        <w:rPr>
          <w:rFonts w:cstheme="minorHAnsi"/>
        </w:rPr>
        <w:t xml:space="preserve">l </w:t>
      </w:r>
      <w:r w:rsidR="00330A9B">
        <w:rPr>
          <w:rFonts w:cstheme="minorHAnsi"/>
        </w:rPr>
        <w:t xml:space="preserve">diritto alla tutela della salute degli italiani è </w:t>
      </w:r>
      <w:r w:rsidR="00FA1696">
        <w:rPr>
          <w:rFonts w:cstheme="minorHAnsi"/>
        </w:rPr>
        <w:t xml:space="preserve">oggi più che mai </w:t>
      </w:r>
      <w:r w:rsidR="00330A9B">
        <w:rPr>
          <w:rFonts w:cstheme="minorHAnsi"/>
        </w:rPr>
        <w:t>condizionato da scelte politiche</w:t>
      </w:r>
      <w:r w:rsidR="00BC76D0">
        <w:rPr>
          <w:rFonts w:cstheme="minorHAnsi"/>
        </w:rPr>
        <w:t>. S</w:t>
      </w:r>
      <w:r w:rsidR="00D258D8" w:rsidRPr="005240BD">
        <w:rPr>
          <w:rFonts w:cstheme="minorHAnsi"/>
        </w:rPr>
        <w:t xml:space="preserve">e si intende realmente preservare la più grande conquista dei cittadini italiani, </w:t>
      </w:r>
      <w:r w:rsidR="00AC3E12">
        <w:rPr>
          <w:rFonts w:cstheme="minorHAnsi"/>
        </w:rPr>
        <w:t>oltre ad</w:t>
      </w:r>
      <w:r w:rsidR="00D258D8" w:rsidRPr="005240BD">
        <w:rPr>
          <w:rFonts w:cstheme="minorHAnsi"/>
        </w:rPr>
        <w:t xml:space="preserve"> aumentare il</w:t>
      </w:r>
      <w:r w:rsidR="00E672C7">
        <w:rPr>
          <w:rFonts w:cstheme="minorHAnsi"/>
        </w:rPr>
        <w:t xml:space="preserve"> ritorno in termini di salute </w:t>
      </w:r>
      <w:r w:rsidR="00D258D8" w:rsidRPr="005240BD">
        <w:rPr>
          <w:rFonts w:cstheme="minorHAnsi"/>
        </w:rPr>
        <w:t xml:space="preserve">del denaro investito in sanità, è </w:t>
      </w:r>
      <w:r w:rsidR="00D258D8" w:rsidRPr="005240BD">
        <w:rPr>
          <w:rFonts w:cstheme="minorHAnsi"/>
        </w:rPr>
        <w:lastRenderedPageBreak/>
        <w:t>indispensabile invertire la rotta sul finanziamento pubblico. In alternativa, occorrerà governare adeguatamente la transizione a</w:t>
      </w:r>
      <w:r w:rsidR="00844B59">
        <w:rPr>
          <w:rFonts w:cstheme="minorHAnsi"/>
        </w:rPr>
        <w:t>d</w:t>
      </w:r>
      <w:r w:rsidR="00D258D8" w:rsidRPr="005240BD">
        <w:rPr>
          <w:rFonts w:cstheme="minorHAnsi"/>
        </w:rPr>
        <w:t xml:space="preserve"> un sistema misto, al fine di evitare una lenta involuzione del SSN che finirebbe per creare una sanità a doppio binario, sgretolando i princìpi di universalismo ed equità che da 40 anni costituiscono il DNA del nostro Servizio Sanitario Nazionale».</w:t>
      </w:r>
    </w:p>
    <w:p w:rsidR="00996C28" w:rsidRPr="005240BD" w:rsidRDefault="00CC4F1D" w:rsidP="00391AD2">
      <w:pPr>
        <w:rPr>
          <w:rFonts w:cstheme="minorHAnsi"/>
        </w:rPr>
      </w:pPr>
      <w:r w:rsidRPr="005240BD">
        <w:rPr>
          <w:rFonts w:cstheme="minorHAnsi"/>
        </w:rPr>
        <w:t xml:space="preserve">La versione </w:t>
      </w:r>
      <w:r w:rsidR="00754EA3" w:rsidRPr="005240BD">
        <w:rPr>
          <w:rFonts w:cstheme="minorHAnsi"/>
        </w:rPr>
        <w:t xml:space="preserve">integrale del </w:t>
      </w:r>
      <w:r w:rsidR="00497373" w:rsidRPr="005240BD">
        <w:rPr>
          <w:rFonts w:cstheme="minorHAnsi"/>
        </w:rPr>
        <w:t>3</w:t>
      </w:r>
      <w:r w:rsidR="00A60FC8" w:rsidRPr="005240BD">
        <w:rPr>
          <w:rFonts w:cstheme="minorHAnsi"/>
        </w:rPr>
        <w:t xml:space="preserve">° </w:t>
      </w:r>
      <w:r w:rsidR="00754EA3" w:rsidRPr="005240BD">
        <w:rPr>
          <w:rFonts w:cstheme="minorHAnsi"/>
        </w:rPr>
        <w:t xml:space="preserve">Rapporto GIMBE è disponibile </w:t>
      </w:r>
      <w:r w:rsidR="006A0B4A">
        <w:rPr>
          <w:rFonts w:cstheme="minorHAnsi"/>
        </w:rPr>
        <w:t xml:space="preserve">per la consultazione pubblica </w:t>
      </w:r>
      <w:r w:rsidR="00754EA3" w:rsidRPr="005240BD">
        <w:rPr>
          <w:rFonts w:cstheme="minorHAnsi"/>
        </w:rPr>
        <w:t>a</w:t>
      </w:r>
      <w:r w:rsidR="00677934" w:rsidRPr="005240BD">
        <w:rPr>
          <w:rFonts w:cstheme="minorHAnsi"/>
        </w:rPr>
        <w:t>ll’indirizzo web</w:t>
      </w:r>
      <w:r w:rsidR="00754EA3" w:rsidRPr="005240BD">
        <w:rPr>
          <w:rFonts w:cstheme="minorHAnsi"/>
        </w:rPr>
        <w:t xml:space="preserve">: </w:t>
      </w:r>
      <w:hyperlink r:id="rId8" w:history="1">
        <w:r w:rsidR="00497373" w:rsidRPr="005240BD">
          <w:rPr>
            <w:rStyle w:val="Collegamentoipertestuale"/>
            <w:rFonts w:cstheme="minorHAnsi"/>
          </w:rPr>
          <w:t>www.rapportogimbe.it</w:t>
        </w:r>
      </w:hyperlink>
      <w:r w:rsidR="00754EA3" w:rsidRPr="005240BD">
        <w:rPr>
          <w:rFonts w:cstheme="minorHAnsi"/>
        </w:rPr>
        <w:t xml:space="preserve"> </w:t>
      </w:r>
    </w:p>
    <w:p w:rsidR="00DC2A0C" w:rsidRPr="005240BD" w:rsidRDefault="00DC2A0C" w:rsidP="00DC2A0C">
      <w:pPr>
        <w:spacing w:after="0"/>
        <w:rPr>
          <w:rFonts w:eastAsia="Calibri" w:cstheme="minorHAnsi"/>
        </w:rPr>
      </w:pPr>
      <w:r w:rsidRPr="005240BD">
        <w:rPr>
          <w:rFonts w:eastAsia="Calibri" w:cstheme="minorHAnsi"/>
          <w:b/>
          <w:bCs/>
        </w:rPr>
        <w:t>Fondazione GIMBE</w:t>
      </w:r>
      <w:r w:rsidRPr="005240BD">
        <w:rPr>
          <w:rFonts w:eastAsia="Calibri" w:cstheme="minorHAnsi"/>
        </w:rPr>
        <w:br/>
        <w:t>Via Amendola 2 - 40121 Bologna</w:t>
      </w:r>
    </w:p>
    <w:p w:rsidR="00DC2A0C" w:rsidRPr="005240BD" w:rsidRDefault="00DC2A0C" w:rsidP="00DC2A0C">
      <w:pPr>
        <w:spacing w:after="0"/>
        <w:rPr>
          <w:rFonts w:eastAsia="Calibri" w:cstheme="minorHAnsi"/>
        </w:rPr>
      </w:pPr>
      <w:r w:rsidRPr="005240BD">
        <w:rPr>
          <w:rFonts w:eastAsia="Calibri" w:cstheme="minorHAnsi"/>
        </w:rPr>
        <w:t>Tel. 051 5883920 - Fax 051 4075774</w:t>
      </w:r>
    </w:p>
    <w:p w:rsidR="003B1262" w:rsidRPr="005240BD" w:rsidRDefault="00DC2A0C" w:rsidP="00C96A92">
      <w:pPr>
        <w:spacing w:after="0"/>
        <w:rPr>
          <w:rFonts w:eastAsia="Calibri" w:cstheme="minorHAnsi"/>
        </w:rPr>
      </w:pPr>
      <w:r w:rsidRPr="005240BD">
        <w:rPr>
          <w:rFonts w:eastAsia="Calibri" w:cstheme="minorHAnsi"/>
        </w:rPr>
        <w:t xml:space="preserve">E-mail: </w:t>
      </w:r>
      <w:hyperlink r:id="rId9" w:history="1">
        <w:r w:rsidRPr="005240BD">
          <w:rPr>
            <w:rFonts w:eastAsia="Calibri" w:cstheme="minorHAnsi"/>
          </w:rPr>
          <w:t>ufficio.stampa@gimbe.org</w:t>
        </w:r>
      </w:hyperlink>
    </w:p>
    <w:p w:rsidR="003B1262" w:rsidRPr="005240BD" w:rsidRDefault="003B1262">
      <w:pPr>
        <w:rPr>
          <w:rFonts w:eastAsia="Calibri" w:cstheme="minorHAnsi"/>
        </w:rPr>
      </w:pPr>
      <w:r w:rsidRPr="005240BD">
        <w:rPr>
          <w:rFonts w:eastAsia="Calibri" w:cstheme="minorHAnsi"/>
        </w:rPr>
        <w:br w:type="page"/>
      </w:r>
    </w:p>
    <w:p w:rsidR="005240BD" w:rsidRPr="005240BD" w:rsidRDefault="005240BD" w:rsidP="005240BD">
      <w:pPr>
        <w:spacing w:after="0"/>
        <w:rPr>
          <w:rFonts w:eastAsia="Calibri" w:cstheme="minorHAnsi"/>
          <w:b/>
        </w:rPr>
      </w:pPr>
      <w:r w:rsidRPr="005240BD">
        <w:rPr>
          <w:rFonts w:eastAsia="Calibri" w:cstheme="minorHAnsi"/>
          <w:b/>
        </w:rPr>
        <w:lastRenderedPageBreak/>
        <w:t xml:space="preserve">3° RAPPORTO </w:t>
      </w:r>
      <w:r w:rsidR="00CC6E1E">
        <w:rPr>
          <w:rFonts w:eastAsia="Calibri" w:cstheme="minorHAnsi"/>
          <w:b/>
        </w:rPr>
        <w:t xml:space="preserve">GIMBE </w:t>
      </w:r>
      <w:r w:rsidRPr="005240BD">
        <w:rPr>
          <w:rFonts w:eastAsia="Calibri" w:cstheme="minorHAnsi"/>
          <w:b/>
        </w:rPr>
        <w:t>SULLA SOSTENIBILITÀ DEL SERVIZIO SANITARIO NAZIONALE</w:t>
      </w:r>
      <w:r w:rsidR="00E13656">
        <w:rPr>
          <w:rFonts w:eastAsia="Calibri" w:cstheme="minorHAnsi"/>
          <w:b/>
        </w:rPr>
        <w:t>.</w:t>
      </w:r>
      <w:r w:rsidR="00E13656" w:rsidRPr="00E13656">
        <w:rPr>
          <w:rFonts w:eastAsia="Calibri" w:cstheme="minorHAnsi"/>
          <w:b/>
        </w:rPr>
        <w:t xml:space="preserve"> </w:t>
      </w:r>
      <w:r w:rsidR="00E13656">
        <w:rPr>
          <w:rFonts w:eastAsia="Calibri" w:cstheme="minorHAnsi"/>
          <w:b/>
        </w:rPr>
        <w:br/>
      </w:r>
      <w:r w:rsidR="00E13656" w:rsidRPr="005240BD">
        <w:rPr>
          <w:rFonts w:eastAsia="Calibri" w:cstheme="minorHAnsi"/>
          <w:b/>
        </w:rPr>
        <w:t>Executive Summary</w:t>
      </w:r>
    </w:p>
    <w:p w:rsidR="005240BD" w:rsidRPr="005240BD" w:rsidRDefault="005240BD" w:rsidP="005240BD">
      <w:pPr>
        <w:spacing w:after="0"/>
        <w:rPr>
          <w:rFonts w:eastAsia="Calibri" w:cstheme="minorHAnsi"/>
        </w:rPr>
      </w:pPr>
    </w:p>
    <w:p w:rsidR="00151D12" w:rsidRPr="00151D12" w:rsidRDefault="00151D12" w:rsidP="00151D12">
      <w:pPr>
        <w:spacing w:after="140" w:line="264" w:lineRule="auto"/>
        <w:jc w:val="both"/>
        <w:rPr>
          <w:rFonts w:cstheme="minorHAnsi"/>
        </w:rPr>
      </w:pPr>
      <w:r w:rsidRPr="00151D12">
        <w:rPr>
          <w:rFonts w:cstheme="minorHAnsi"/>
        </w:rPr>
        <w:t xml:space="preserve">Il Rapporto si apre con il </w:t>
      </w:r>
      <w:r w:rsidRPr="00151D12">
        <w:rPr>
          <w:rFonts w:cstheme="minorHAnsi"/>
          <w:b/>
          <w:bCs/>
        </w:rPr>
        <w:t>CAPITOLO 1</w:t>
      </w:r>
      <w:r w:rsidRPr="00151D12">
        <w:rPr>
          <w:rFonts w:cstheme="minorHAnsi"/>
        </w:rPr>
        <w:t xml:space="preserve"> dedicato ai </w:t>
      </w:r>
      <w:r w:rsidRPr="00151D12">
        <w:rPr>
          <w:rFonts w:cstheme="minorHAnsi"/>
          <w:b/>
          <w:bCs/>
        </w:rPr>
        <w:t xml:space="preserve">benchmark internazionali </w:t>
      </w:r>
      <w:r w:rsidRPr="00151D12">
        <w:rPr>
          <w:rFonts w:cstheme="minorHAnsi"/>
        </w:rPr>
        <w:t>del nostro Servizio Sanitario Nazionale (SSN): la revisione sistematica e l’analisi metodologica degli strumenti elaborati da diverse organizzazioni per confrontare la performance dei sistemi sanitari hanno permesso di trarre alcune raccomandazioni chiave per l’utilizzo dei risultati di queste classifiche nel dibattito pubblico e, in particolare, nelle comunicazioni istituzionali. In particolare, il sistema più completo e aggiornato per la valutazione delle performance e l’individuazione delle aree di miglioramento è quello dell’OCSE, che non stila alcuna classifica ma permette solo di valutare la posizione dell’Italia rispetto ad altri paesi e alla media OSCE. Per tale ragione, la Fondazione GIMBE ha analizzato 194 indicatori riportando per 151 di essi la posizione in classifica del nostro SSN, il dato nazionale e la media OCSE, con l’obiettivo di condividere le criticità e valutare le azioni necessarie per allinearsi a standard internazionali. Dalla revisione emergono due raccomandazioni chiave: la classifica dell’OMS del 2000, che collocava l’Italia al 2° posto dopo la Francia, ha un mero valore storico e non dovrebbe più essere citata; la classifica Bloomberg, che posizione l’Italia al 3° posto, valuta solo l’efficienza del SSN sovrastimandone di conseguenza la qualità.</w:t>
      </w:r>
    </w:p>
    <w:p w:rsidR="00151D12" w:rsidRPr="00151D12" w:rsidRDefault="00151D12" w:rsidP="00151D12">
      <w:pPr>
        <w:spacing w:after="140" w:line="264" w:lineRule="auto"/>
        <w:jc w:val="both"/>
        <w:rPr>
          <w:rFonts w:cstheme="minorHAnsi"/>
        </w:rPr>
      </w:pPr>
      <w:r w:rsidRPr="00151D12">
        <w:rPr>
          <w:rFonts w:cstheme="minorHAnsi"/>
        </w:rPr>
        <w:t xml:space="preserve">Il </w:t>
      </w:r>
      <w:r w:rsidRPr="00151D12">
        <w:rPr>
          <w:rFonts w:cstheme="minorHAnsi"/>
          <w:b/>
          <w:bCs/>
        </w:rPr>
        <w:t>CAPITOLO 2</w:t>
      </w:r>
      <w:r w:rsidRPr="00151D12">
        <w:rPr>
          <w:rFonts w:cstheme="minorHAnsi"/>
        </w:rPr>
        <w:t xml:space="preserve"> è dedicato alla </w:t>
      </w:r>
      <w:r w:rsidRPr="00151D12">
        <w:rPr>
          <w:rFonts w:cstheme="minorHAnsi"/>
          <w:b/>
          <w:bCs/>
        </w:rPr>
        <w:t>spesa sanitaria</w:t>
      </w:r>
      <w:r w:rsidRPr="00151D12">
        <w:rPr>
          <w:rFonts w:cstheme="minorHAnsi"/>
        </w:rPr>
        <w:t xml:space="preserve"> 2016, ultimo anno per il quale sono disponibili tutti i consuntivi relativi alla spesa pubblica e privata. </w:t>
      </w:r>
      <w:r w:rsidRPr="00151D12">
        <w:rPr>
          <w:rFonts w:cstheme="minorHAnsi"/>
          <w:spacing w:val="-4"/>
        </w:rPr>
        <w:t xml:space="preserve">Secondo le stime effettuate dal Rapporto la spesa sanitaria 2016 ammonta a € 157,613 miliardi di cui: </w:t>
      </w:r>
      <w:r w:rsidRPr="00151D12">
        <w:rPr>
          <w:rFonts w:cstheme="minorHAnsi"/>
        </w:rPr>
        <w:t>€ 112,182 miliardi di spesa pubblica; € 45,431 miliardi di spesa privata di cui € 5,601 miliardi di spesa intermediata (€ 3,831 miliardi da fondi sanitari, € 0,593 miliardi da polizze individuali, € 1,177 miliardi da altri enti) e € 39,830 miliardi di spesa a carico delle famiglie (out-of-pocket). In altri termini, nel 2016 il 28,8% della spesa sanitaria è privata e di questa quasi l’88% è sostenuta direttamente dalle famiglie.</w:t>
      </w:r>
    </w:p>
    <w:p w:rsidR="00151D12" w:rsidRPr="00151D12" w:rsidRDefault="00151D12" w:rsidP="00151D12">
      <w:pPr>
        <w:spacing w:after="140" w:line="264" w:lineRule="auto"/>
        <w:jc w:val="both"/>
        <w:rPr>
          <w:rFonts w:cstheme="minorHAnsi"/>
          <w:spacing w:val="-2"/>
        </w:rPr>
      </w:pPr>
      <w:r w:rsidRPr="00151D12">
        <w:rPr>
          <w:rFonts w:cstheme="minorHAnsi"/>
          <w:spacing w:val="-2"/>
        </w:rPr>
        <w:t xml:space="preserve">Per la </w:t>
      </w:r>
      <w:r w:rsidRPr="00151D12">
        <w:rPr>
          <w:rFonts w:cstheme="minorHAnsi"/>
          <w:b/>
          <w:bCs/>
          <w:spacing w:val="-2"/>
        </w:rPr>
        <w:t>spesa pubblica</w:t>
      </w:r>
      <w:r w:rsidRPr="00151D12">
        <w:rPr>
          <w:rFonts w:cstheme="minorHAnsi"/>
          <w:spacing w:val="-2"/>
        </w:rPr>
        <w:t xml:space="preserve"> si è fatto riferimento al nuovo sistema dei conti della sanità ISTAT-SHA, allineato alle regole contabili dal sistema europeo dei conti. Secondo i dati ISTAT-SHA, l’assistenza sanitaria per cura e riabilitazione assorbe € 82,032 miliardi, i prodotti farmaceutici e altri apparecchi terapeutici € 31,106 miliardi, la long-term care € 15,067 miliardi, i servizi ausiliari € 12,342 miliardi, i servizi per la prevenzione delle malattie € 6,057 miliardi, mentre € 2,896 miliardi sono destinati a governance e amministrazione del SSN. Considerato che il sistema ISTAT-SHA presenta ancora alcuni limiti, in relazione a specifici obiettivi di analisi il Rapporto integra altre fonti, segnalando le eventuali discrepanze. In particolare, per valutare i trend 2000-2016 sono stati utilizzati i dati della Ragioneria Generale dello Stato che dimostrano la progressiva riduzione della spesa sanitaria: a fronte di un tasso di crescita medio annuo del 7,4% nel periodo 2001-2005, il tasso nel quinquennio 2006-2010 scende al 3,1%, quindi diventa negativo nel periodo 2011-2016 (-0,1%). Questa sensibile riduzione della spesa sanitaria ha permesso di ridurre il gap con i valori del finanziamento corrente del SSN, determinando negli ultimi tre anni un sostanziale allineamento e, di fatto, il pareggio di bilancio. Tuttavia, il contenimento complessivo della spesa sanitaria nel periodo 2000-2016 non riflette trend omogenei tra i differenti aggregati di spesa, determinando una significativa ricomposizione della loro incidenza rispetto alla spesa sanitaria totale: da segnalare che per i redditi da lavoro dipendente l’incidenza è scesa dal 39,8% del 2000 al 31% del 2016.</w:t>
      </w:r>
    </w:p>
    <w:p w:rsidR="00151D12" w:rsidRPr="00151D12" w:rsidRDefault="00151D12" w:rsidP="00151D12">
      <w:pPr>
        <w:spacing w:after="140" w:line="264" w:lineRule="auto"/>
        <w:jc w:val="both"/>
        <w:rPr>
          <w:rFonts w:cstheme="minorHAnsi"/>
        </w:rPr>
      </w:pPr>
      <w:r w:rsidRPr="00151D12">
        <w:rPr>
          <w:rFonts w:cstheme="minorHAnsi"/>
        </w:rPr>
        <w:t xml:space="preserve">Considerato che le stime sulla </w:t>
      </w:r>
      <w:r w:rsidRPr="00151D12">
        <w:rPr>
          <w:rFonts w:cstheme="minorHAnsi"/>
          <w:b/>
          <w:bCs/>
        </w:rPr>
        <w:t>spesa sanitaria privata</w:t>
      </w:r>
      <w:r w:rsidRPr="00151D12">
        <w:rPr>
          <w:rFonts w:cstheme="minorHAnsi"/>
        </w:rPr>
        <w:t xml:space="preserve"> (che include quella sostenuta dalle famiglie e quella intermediata da “terzi paganti”) effettuate da diverse Istituzioni e organizzazioni riportano rilevanti differenze, il Rapporto analizza le discordanze e ove possibile ne identifica le motivazioni. Per stimare la </w:t>
      </w:r>
      <w:r w:rsidRPr="00151D12">
        <w:rPr>
          <w:rFonts w:cstheme="minorHAnsi"/>
          <w:bCs/>
        </w:rPr>
        <w:t xml:space="preserve">spesa out-of-pocket </w:t>
      </w:r>
      <w:r w:rsidRPr="00151D12">
        <w:rPr>
          <w:rFonts w:cstheme="minorHAnsi"/>
        </w:rPr>
        <w:t xml:space="preserve">si è fatto riferimento al dato ISTAT-SHA integrato con alcune voci di spesa escluse, per un totale di </w:t>
      </w:r>
      <w:r w:rsidRPr="00151D12">
        <w:rPr>
          <w:rFonts w:cstheme="minorHAnsi"/>
          <w:bCs/>
        </w:rPr>
        <w:t>€</w:t>
      </w:r>
      <w:r w:rsidRPr="00151D12">
        <w:rPr>
          <w:rFonts w:cstheme="minorHAnsi"/>
        </w:rPr>
        <w:t xml:space="preserve"> </w:t>
      </w:r>
      <w:r w:rsidRPr="00151D12">
        <w:rPr>
          <w:rFonts w:cstheme="minorHAnsi"/>
          <w:bCs/>
        </w:rPr>
        <w:t>39,8 miliardi</w:t>
      </w:r>
      <w:r w:rsidRPr="00151D12">
        <w:rPr>
          <w:rFonts w:cstheme="minorHAnsi"/>
        </w:rPr>
        <w:t xml:space="preserve">, comprensivi di </w:t>
      </w:r>
      <w:r w:rsidRPr="00151D12">
        <w:rPr>
          <w:rFonts w:cstheme="minorHAnsi"/>
          <w:bCs/>
        </w:rPr>
        <w:t>€ 2,9 miliardi di ticket</w:t>
      </w:r>
      <w:r w:rsidRPr="00151D12">
        <w:rPr>
          <w:rFonts w:cstheme="minorHAnsi"/>
        </w:rPr>
        <w:t xml:space="preserve">. Tuttavia, a fronte dell’entità della spesa delle famiglie, di fatto “alleggerita” da </w:t>
      </w:r>
      <w:r w:rsidRPr="00151D12">
        <w:rPr>
          <w:rFonts w:cstheme="minorHAnsi"/>
          <w:bCs/>
        </w:rPr>
        <w:t xml:space="preserve">€ 3,4 miliardi di rimborsi IRPEF, </w:t>
      </w:r>
      <w:r w:rsidRPr="00151D12">
        <w:rPr>
          <w:rFonts w:cstheme="minorHAnsi"/>
        </w:rPr>
        <w:t xml:space="preserve">il Rapporto dimostra che almeno il 40% di tale spesa non compensa le minori tutele conseguenti al ridotto finanziamento pubblico, ma consegue a fenomeni di consumismo sanitario o a scelte individuali. Inoltre, nel medio periodo non si </w:t>
      </w:r>
      <w:r w:rsidRPr="00151D12">
        <w:rPr>
          <w:rFonts w:cstheme="minorHAnsi"/>
        </w:rPr>
        <w:lastRenderedPageBreak/>
        <w:t xml:space="preserve">registra alcun allarme sull’incremento della spesa delle famiglie, che nel periodo 2009-2016 ha subìto lo stesso incremento percentuale rispetto al periodo 2000-2008 (18% circa). Ancora più complessa l’analisi della spesa privata intermediata per variabili e criticità che condizionano la tracciabilità dei flussi economici. Seppure con i limiti relativi ad affidabilità di fonti e dati e alla possibile sovrapposizione di alcune cifre, per l’anno 2016 si stima una </w:t>
      </w:r>
      <w:r w:rsidRPr="00151D12">
        <w:rPr>
          <w:rFonts w:cstheme="minorHAnsi"/>
          <w:bCs/>
        </w:rPr>
        <w:t>spesa intermediata di € 5,6 miliardi</w:t>
      </w:r>
      <w:r w:rsidRPr="00151D12">
        <w:rPr>
          <w:rFonts w:cstheme="minorHAnsi"/>
        </w:rPr>
        <w:t xml:space="preserve"> (12,3% della spesa privata), sostenuta da varie tipologie di “terzi paganti: € 3.830,8 milioni da fondi sanitari e polizze collettive, € 593 milioni da polizze assicurative individuali, € 576 milioni da istituzioni senza scopo di lucro e € 601 milioni da imprese.</w:t>
      </w:r>
    </w:p>
    <w:p w:rsidR="00151D12" w:rsidRPr="00151D12" w:rsidRDefault="00151D12" w:rsidP="00151D12">
      <w:pPr>
        <w:spacing w:after="140" w:line="264" w:lineRule="auto"/>
        <w:jc w:val="both"/>
        <w:rPr>
          <w:rFonts w:cstheme="minorHAnsi"/>
        </w:rPr>
      </w:pPr>
      <w:r w:rsidRPr="00151D12">
        <w:rPr>
          <w:rFonts w:cstheme="minorHAnsi"/>
        </w:rPr>
        <w:t xml:space="preserve">Il </w:t>
      </w:r>
      <w:r w:rsidRPr="00151D12">
        <w:rPr>
          <w:rFonts w:cstheme="minorHAnsi"/>
          <w:b/>
        </w:rPr>
        <w:t>CAPITOLO 3</w:t>
      </w:r>
      <w:r w:rsidRPr="00151D12">
        <w:rPr>
          <w:rFonts w:cstheme="minorHAnsi"/>
        </w:rPr>
        <w:t xml:space="preserve"> è dedicato alle </w:t>
      </w:r>
      <w:r w:rsidRPr="00151D12">
        <w:rPr>
          <w:rFonts w:cstheme="minorHAnsi"/>
          <w:b/>
        </w:rPr>
        <w:t>macro-determinanti della crisi di sostenibilità del SSN</w:t>
      </w:r>
      <w:r w:rsidRPr="00151D12">
        <w:rPr>
          <w:rFonts w:cstheme="minorHAnsi"/>
        </w:rPr>
        <w:t>: definanziamento pubblico, sostenibilità ed esigibilità dei nuovi LEA, sprechi e inefficienze ed espansione incontrollata del “secondo pilastro”.</w:t>
      </w:r>
    </w:p>
    <w:p w:rsidR="00151D12" w:rsidRPr="00151D12" w:rsidRDefault="00151D12" w:rsidP="00151D12">
      <w:pPr>
        <w:spacing w:after="140" w:line="264" w:lineRule="auto"/>
        <w:jc w:val="both"/>
        <w:rPr>
          <w:rFonts w:cstheme="minorHAnsi"/>
        </w:rPr>
      </w:pPr>
      <w:r w:rsidRPr="00151D12">
        <w:rPr>
          <w:rFonts w:cstheme="minorHAnsi"/>
          <w:b/>
          <w:spacing w:val="-2"/>
        </w:rPr>
        <w:t>Definanziamento pubblico.</w:t>
      </w:r>
      <w:r w:rsidRPr="00151D12">
        <w:rPr>
          <w:rFonts w:cstheme="minorHAnsi"/>
          <w:spacing w:val="-2"/>
        </w:rPr>
        <w:t xml:space="preserve"> </w:t>
      </w:r>
      <w:r w:rsidRPr="00151D12">
        <w:rPr>
          <w:rFonts w:cstheme="minorHAnsi"/>
          <w:spacing w:val="2"/>
        </w:rPr>
        <w:t>Sintetizzando l’enorme quantità di numeri tra finanziamenti programmati dai Documenti di Economia e Finanza (DEF), fondi assegnati dalle Leggi di Bilancio, tagli e contributi alla finanza pubblica a carico delle Regioni, emergono poche inquietanti certezze sulle risorse destinate al SSN. N</w:t>
      </w:r>
      <w:r w:rsidRPr="00151D12">
        <w:rPr>
          <w:rFonts w:cstheme="minorHAnsi"/>
        </w:rPr>
        <w:t xml:space="preserve">el periodo 2013-2018 il finanziamento nominale è aumentato di quasi € 7 miliardi, dai € 107,01 miliardi del 2013 ai € 114 miliardi del 2018, di cui sono “sopravvissuti” nei fatti solo € 5,968 miliardi; nel periodo 2015-2018 l’attuazione degli obiettivi di finanza pubblica ha determinato, rispetto ai livelli programmati, una riduzione cumulativa del finanziamento del SSN di € 12,11 miliardi; il DEF 2018, a fronte di una prevista crescita annua del PIL nominale del 3% nel triennio 2018-2020, riduce progressivamente il rapporto spesa sanitaria/PIL dal 6,6% del 2018 al 6,4% del 2019, al 6,3% nel 2020 e 2021. A seguito del costante definanziamento, le analisi effettuate sul database </w:t>
      </w:r>
      <w:r w:rsidRPr="00151D12">
        <w:rPr>
          <w:rFonts w:cstheme="minorHAnsi"/>
          <w:i/>
        </w:rPr>
        <w:t>OECD Health Statistics</w:t>
      </w:r>
      <w:r w:rsidRPr="00151D12">
        <w:rPr>
          <w:rFonts w:cstheme="minorHAnsi"/>
        </w:rPr>
        <w:t xml:space="preserve"> dimostrano che la spesa sanitaria in Italia continua inesorabilmente a perdere terreno con progressivo avvicinamento ai livelli di spesa dei paesi dell’Europa Orientale. La regressione riguarda anzitutto la percentuale del PIL destinato alla spesa sanitaria totale, che nel 2016 è di poco inferiore alla media OCSE (8,9% vs 9%) e in Europa vede l’Italia fanalino di coda insieme al Portogallo tra i paesi dell’Europa occidentale. L’arretramento è attestato tuttavia soprattutto per la spesa pro-capite totale, inferiore alla media OCSE ($ 3.391 vs $ 3.978), che colloca l’Italia in prima posizione tra i paesi più poveri dell’Europa: Spagna, Slovenia, Portogallo, Repubblica Ceca, Grecia, Slovacchia, Ungheria, Estonia, Polonia e Lettonia.</w:t>
      </w:r>
    </w:p>
    <w:p w:rsidR="00151D12" w:rsidRPr="00151D12" w:rsidRDefault="00151D12" w:rsidP="00151D12">
      <w:pPr>
        <w:spacing w:after="140" w:line="264" w:lineRule="auto"/>
        <w:jc w:val="both"/>
        <w:rPr>
          <w:rFonts w:cstheme="minorHAnsi"/>
        </w:rPr>
      </w:pPr>
      <w:r w:rsidRPr="00151D12">
        <w:rPr>
          <w:rFonts w:cstheme="minorHAnsi"/>
          <w:b/>
        </w:rPr>
        <w:t>Sostenibilità ed esigibilità dei nuovi LEA.</w:t>
      </w:r>
      <w:r w:rsidRPr="00151D12">
        <w:rPr>
          <w:rFonts w:cstheme="minorHAnsi"/>
        </w:rPr>
        <w:t xml:space="preserve"> A 14 mesi dal grande traguardo politico raggiunto con la pubblicazione del decreto sui “nuovi LEA”, il Rapporto GIMBE analizza le criticità metodologiche per definire e aggiornare gli elenchi delle prestazioni, quelle relative al monitoraggio dei LEA e quelle che condizionano l’erogazione e l’esigibilità dei nuovi LEA in maniera uniforme su tutto il territorio nazionale: dai recepimenti regionali dei nuovi LEA, al ritardo nella pubblicazione dei nomenclatori tariffari, dall’individuazione di limiti e modalità di erogazione delle prestazioni, agli aggiornamenti degli elenchi delle prestazioni. Il Rapporto sottolinea inoltre l’inderogabile necessità di rivalutare complessivamente tutte le prestazioni inserite nei LEA, facendo esplicito riferimento a un metodo rigoroso basato sulle evidenze e sul </w:t>
      </w:r>
      <w:r w:rsidRPr="00151D12">
        <w:rPr>
          <w:rFonts w:cstheme="minorHAnsi"/>
          <w:i/>
        </w:rPr>
        <w:t>value</w:t>
      </w:r>
      <w:r w:rsidRPr="00151D12">
        <w:rPr>
          <w:rFonts w:cstheme="minorHAnsi"/>
        </w:rPr>
        <w:t xml:space="preserve"> al fine di effettuare un “consistente sfoltimento”, mettendo fine all’inaccettabile paradosso per cui in Italia convivono il “paniere LEA” più ricco (almeno sulla carta) ed un finanziamento pubblico tra i più bassi d’Europa. </w:t>
      </w:r>
    </w:p>
    <w:p w:rsidR="00151D12" w:rsidRPr="00151D12" w:rsidRDefault="00151D12" w:rsidP="00151D12">
      <w:pPr>
        <w:spacing w:after="140" w:line="264" w:lineRule="auto"/>
        <w:jc w:val="both"/>
        <w:rPr>
          <w:rFonts w:cstheme="minorHAnsi"/>
        </w:rPr>
      </w:pPr>
      <w:r w:rsidRPr="00151D12">
        <w:rPr>
          <w:rFonts w:cstheme="minorHAnsi"/>
          <w:b/>
        </w:rPr>
        <w:t>Sprechi e inefficienze.</w:t>
      </w:r>
      <w:r w:rsidRPr="00151D12">
        <w:rPr>
          <w:rFonts w:cstheme="minorHAnsi"/>
        </w:rPr>
        <w:t xml:space="preserve"> Per l’anno 2017 sul consuntivo di € 113,599 miliardi di spesa sanitaria pubblica la stima di sprechi e inefficienze è di € 21,59 miliardi, con un margine di variabilità (±20%) e un range variabile tra € 17,27 e € 25,91 miliardi. L’impatto complessivo degli sprechi è stato ridotto di 1 punto percentuale (dal 20% delle stime OCSE al 19%) con un recupero stimato di oltre € 1,3 miliardi nel 2017. Per ciascuna delle categorie di sprechi viene riportata una “carta di identità” che include definizione, determinanti, tassonomia, esempi, normative e iniziative nazionali ed internazionali, oltre che le stime delle risorse erose dagli sprechi: sovra-utilizzo di servizi e prestazioni sanitarie inefficaci o inappropriate (€ 6,48 mld), frodi e abusi (€ 4,75 mld), acquisti a costi eccessivi (€ 2,16 mld), sotto-utilizzo di servizi e prestazioni efficaci e </w:t>
      </w:r>
      <w:r w:rsidRPr="00151D12">
        <w:rPr>
          <w:rFonts w:cstheme="minorHAnsi"/>
        </w:rPr>
        <w:lastRenderedPageBreak/>
        <w:t xml:space="preserve">appropriate (€ 3,24 mld), complessità amministrative (€ 2,37 mld), inadeguato coordinamento dell’assistenza (€ 2,59 mld). </w:t>
      </w:r>
    </w:p>
    <w:p w:rsidR="00151D12" w:rsidRPr="00151D12" w:rsidRDefault="00151D12" w:rsidP="00151D12">
      <w:pPr>
        <w:spacing w:after="140" w:line="264" w:lineRule="auto"/>
        <w:jc w:val="both"/>
        <w:rPr>
          <w:rFonts w:cstheme="minorHAnsi"/>
        </w:rPr>
      </w:pPr>
      <w:r w:rsidRPr="00151D12">
        <w:rPr>
          <w:rFonts w:cstheme="minorHAnsi"/>
          <w:b/>
        </w:rPr>
        <w:t>Espansione del secondo pilastro.</w:t>
      </w:r>
      <w:r w:rsidRPr="00151D12">
        <w:rPr>
          <w:rFonts w:cstheme="minorHAnsi"/>
        </w:rPr>
        <w:t xml:space="preserve"> Le restrizioni finanziarie imposte alla sanità pubblica hanno indebolito il sistema di offerta di servizi e prestazioni sanitarie, aggravato le difficoltà di accesso alle cure e ampliato le diseguaglianze. In questo contesto, l’aumento della spesa out-of-pocket e la rinuncia a prestazioni sanitarie si sono accompagnati alla crescita di forme alternative di copertura sanitaria. Di conseguenza, l’idea di affidarsi al “secondo pilastro” per garantire la sostenibilità del SSN si è progressivamente affermata per l’interazione di alcuni fattori: dalla complessità della terminologia alla frammentazione della normativa, dalla scarsa trasparenza alla carenza di sistemi di controllo. In questo contesto si è progressivamente fatta largo una raffinata strategia di marketing basata su un assioma correlato a criticità solo in apparenza correlate (riduzione del finanziamento pubblico, aumento della spesa out-of-pocket, difficoltà di accesso ai servizi sanitari e rinuncia alle cure) alimentate dai risultati di studi discutibili finanziati proprio da compagnie assicurative. Il Rapporto analizza in dettaglio il complesso ecosistema dei “terzi paganti” in sanità, le tipologie di coperture offerte, l’impatto analitico di fondi sanitari e polizze assicurative sulla spesa sanitaria e tutti i potenziali “effetti collaterali” del secondo pilastro, troppo spesso sottovalutati sull’onda di un entusiasmo collettivo: dai rischi per la sostenibilità a quelli di privatizzazione, dall’aumento delle diseguaglianze all’incremento della spesa sanitaria, dal sovra-utilizzo di prestazioni sanitarie alla frammentazione dei percorsi assistenziali. </w:t>
      </w:r>
    </w:p>
    <w:p w:rsidR="00151D12" w:rsidRPr="00151D12" w:rsidRDefault="00151D12" w:rsidP="00151D12">
      <w:pPr>
        <w:spacing w:after="140" w:line="264" w:lineRule="auto"/>
        <w:jc w:val="both"/>
        <w:rPr>
          <w:rFonts w:cstheme="minorHAnsi"/>
          <w:spacing w:val="-4"/>
        </w:rPr>
      </w:pPr>
      <w:r w:rsidRPr="00151D12">
        <w:rPr>
          <w:rFonts w:cstheme="minorHAnsi"/>
          <w:spacing w:val="-4"/>
        </w:rPr>
        <w:t xml:space="preserve">Il </w:t>
      </w:r>
      <w:r w:rsidRPr="00151D12">
        <w:rPr>
          <w:rFonts w:cstheme="minorHAnsi"/>
          <w:b/>
          <w:spacing w:val="-4"/>
        </w:rPr>
        <w:t>CAPITOLO 4</w:t>
      </w:r>
      <w:r w:rsidRPr="00151D12">
        <w:rPr>
          <w:rFonts w:cstheme="minorHAnsi"/>
          <w:spacing w:val="-4"/>
        </w:rPr>
        <w:t xml:space="preserve"> riporta la </w:t>
      </w:r>
      <w:r w:rsidRPr="00151D12">
        <w:rPr>
          <w:rFonts w:cstheme="minorHAnsi"/>
          <w:b/>
          <w:spacing w:val="-4"/>
        </w:rPr>
        <w:t>rivalutazione delle prognosi del SSN al 2025</w:t>
      </w:r>
      <w:r w:rsidRPr="00151D12">
        <w:rPr>
          <w:rFonts w:cstheme="minorHAnsi"/>
          <w:spacing w:val="-4"/>
        </w:rPr>
        <w:t xml:space="preserve">, effettuata ispirandosi alla teoria dei “cunei di stabilizzazione” che risponde alla necessità di un piano d’intervento multifattoriale per garantire la sostenibilità del SSN. Accanto alla rivalutazione della stima del fabbisogno al 2025, sono state aggiornate tutte le stime relative al finanziamento pubblico (al ribasso), alla spesa privata (al rialzo) e al disinvestimento da sprechi e inefficienze. Il fabbisogno al 2025 è stato stimato, in maniera estremamente conservativa, in € 220 miliardi, tenendo conto di vari fattori: entità del sotto-finanziamento del SSN, benchmark con i paesi dell’Europa occidentale, sottostima dell’impatto economico dei nuovi LEA, evidenza di inadempimenti LEA in varie Regioni, inderogabile necessità di rilancio delle politiche per il personale sanitario, immissione sul mercato di costosissime innovazioni farmacologiche, necessità di ammodernamento tecnologico, invecchiamento della popolazione, rinuncia a prestazioni sanitarie (dati ISTAT). Tale stima esclude espressamente le risorse da destinare al piano straordinario di investimenti per l’edilizia sanitaria e i bisogni socio-sanitari che ammonterebbero ad oltre € 17 miliardi. L’incremento della spesa sanitaria totale nel periodo 2017-2025 è stato stimato in € 27 miliardi (€ 9 miliardi di spesa pubblica e € 18 miliardi di spesa privata), che permetterebbero di raggiungere nel 2025 una cifra di poco superiore ai € 184 miliardi, ben lontana dal fabbisogno stimato. Il potenziale recupero di risorse dal disinvestimento da sprechi e inefficienze nel periodo 2017-2025 è stato stimato in oltre € 70 miliardi, recuperabili non solo tramite azioni puntuali di </w:t>
      </w:r>
      <w:r w:rsidRPr="00151D12">
        <w:rPr>
          <w:rFonts w:cstheme="minorHAnsi"/>
          <w:i/>
          <w:spacing w:val="-4"/>
        </w:rPr>
        <w:t>spending review</w:t>
      </w:r>
      <w:r w:rsidRPr="00151D12">
        <w:rPr>
          <w:rFonts w:cstheme="minorHAnsi"/>
          <w:spacing w:val="-4"/>
        </w:rPr>
        <w:t xml:space="preserve">, ma attraverso interventi strutturali e organizzativi e, soprattutto, disegnando e attuando un piano nazionale di prevenzione e riduzione degli sprechi. Nonostante la stima di € 220 miliardi sia conservativa e il disinvestimento di € 70 miliardi estremamente impegnativo, per raggiungere il fabbisogno stimato per il 2025 mancherebbero comunque ancora € 20,5 miliardi, una cifra di un’entità tale da richiedere scelte politiche ben precise. In altre parole, le valutazioni del presente Rapporto dimostrano che il disinvestimento da sprechi e inefficienze è </w:t>
      </w:r>
      <w:r w:rsidRPr="00151D12">
        <w:rPr>
          <w:rFonts w:cstheme="minorHAnsi"/>
          <w:i/>
          <w:spacing w:val="-4"/>
        </w:rPr>
        <w:t>condicio sine qua non</w:t>
      </w:r>
      <w:r w:rsidRPr="00151D12">
        <w:rPr>
          <w:rFonts w:cstheme="minorHAnsi"/>
          <w:spacing w:val="-4"/>
        </w:rPr>
        <w:t xml:space="preserve"> per salvare il SSN e che al tempo stesso la soluzione non è rappresentata sicuramente dal “secondo pilastro”: di conseguenza, in assenza di un consistente rilancio del finanziamento pubblico, sarà impossibile mantenere un servizio sanitario pubblico, equo e universalistico. Visto che le azioni del prossimo Esecutivo saranno cruciali per il futuro del SSN, il Paese si trova davanti ad un bivio: se si intende realmente preservare la più grande conquista dei cittadini italiani, come da ogni parte dichiarato a parole, accanto a tutti gli interventi necessari per aumentare il </w:t>
      </w:r>
      <w:r w:rsidRPr="00151D12">
        <w:rPr>
          <w:rFonts w:cstheme="minorHAnsi"/>
          <w:i/>
          <w:spacing w:val="-4"/>
        </w:rPr>
        <w:t>value for money</w:t>
      </w:r>
      <w:r w:rsidRPr="00151D12">
        <w:rPr>
          <w:rFonts w:cstheme="minorHAnsi"/>
          <w:spacing w:val="-4"/>
        </w:rPr>
        <w:t xml:space="preserve"> del denaro investito in sanità, è indispensabile invertire la rotta sul finanziamento pubblico. In alternativa, occorrerà governare adeguatamente la transizione a un sistema misto, al fine di evitare una lenta involuzione del SSN che finirebbe per creare una sanità a doppio binario, sgretolando i princìpi di universalismo ed equità che ne costituiscono il DNA.</w:t>
      </w:r>
    </w:p>
    <w:p w:rsidR="00151D12" w:rsidRPr="00151D12" w:rsidRDefault="00151D12" w:rsidP="00151D12">
      <w:pPr>
        <w:spacing w:after="140" w:line="264" w:lineRule="auto"/>
        <w:jc w:val="both"/>
        <w:rPr>
          <w:rFonts w:cstheme="minorHAnsi"/>
        </w:rPr>
      </w:pPr>
      <w:r w:rsidRPr="00151D12">
        <w:rPr>
          <w:rFonts w:cstheme="minorHAnsi"/>
        </w:rPr>
        <w:lastRenderedPageBreak/>
        <w:t xml:space="preserve">Il </w:t>
      </w:r>
      <w:r w:rsidRPr="00151D12">
        <w:rPr>
          <w:rFonts w:cstheme="minorHAnsi"/>
          <w:b/>
        </w:rPr>
        <w:t>CAPITOLO 5</w:t>
      </w:r>
      <w:r w:rsidRPr="00151D12">
        <w:rPr>
          <w:rFonts w:cstheme="minorHAnsi"/>
        </w:rPr>
        <w:t xml:space="preserve"> è dedicato alla </w:t>
      </w:r>
      <w:r w:rsidRPr="00151D12">
        <w:rPr>
          <w:rFonts w:cstheme="minorHAnsi"/>
          <w:i/>
        </w:rPr>
        <w:t>pars construens</w:t>
      </w:r>
      <w:r w:rsidRPr="00151D12">
        <w:rPr>
          <w:rFonts w:cstheme="minorHAnsi"/>
        </w:rPr>
        <w:t xml:space="preserve">, ovvero al </w:t>
      </w:r>
      <w:r w:rsidRPr="00151D12">
        <w:rPr>
          <w:rFonts w:cstheme="minorHAnsi"/>
          <w:b/>
        </w:rPr>
        <w:t>“piano di salvataggio” del SSN</w:t>
      </w:r>
      <w:r w:rsidRPr="00151D12">
        <w:rPr>
          <w:rFonts w:cstheme="minorHAnsi"/>
        </w:rPr>
        <w:t xml:space="preserve"> elaborato dalla Fondazione GIMBE e utilizzato come strumento di partenza per il </w:t>
      </w:r>
      <w:r w:rsidRPr="00151D12">
        <w:rPr>
          <w:rFonts w:cstheme="minorHAnsi"/>
          <w:i/>
        </w:rPr>
        <w:t>fact checking</w:t>
      </w:r>
      <w:r w:rsidRPr="00151D12">
        <w:rPr>
          <w:rFonts w:cstheme="minorHAnsi"/>
        </w:rPr>
        <w:t xml:space="preserve"> dei programmi elettorali in occasione delle ultime consultazioni politiche e già sottoposto a </w:t>
      </w:r>
      <w:bookmarkStart w:id="0" w:name="_GoBack"/>
      <w:r w:rsidRPr="00151D12">
        <w:rPr>
          <w:rFonts w:cstheme="minorHAnsi"/>
        </w:rPr>
        <w:t>consultazione</w:t>
      </w:r>
      <w:bookmarkEnd w:id="0"/>
      <w:r w:rsidRPr="00151D12">
        <w:rPr>
          <w:rFonts w:cstheme="minorHAnsi"/>
        </w:rPr>
        <w:t xml:space="preserve"> pubblica:</w:t>
      </w:r>
    </w:p>
    <w:p w:rsidR="00151D12" w:rsidRPr="00151D12" w:rsidRDefault="00151D12" w:rsidP="00151D12">
      <w:pPr>
        <w:pStyle w:val="Testonormale"/>
        <w:numPr>
          <w:ilvl w:val="0"/>
          <w:numId w:val="24"/>
        </w:numPr>
        <w:spacing w:after="140" w:line="264" w:lineRule="auto"/>
        <w:ind w:left="357" w:hanging="357"/>
        <w:contextualSpacing/>
        <w:jc w:val="both"/>
        <w:rPr>
          <w:rFonts w:asciiTheme="minorHAnsi" w:hAnsiTheme="minorHAnsi" w:cstheme="minorHAnsi"/>
          <w:color w:val="auto"/>
          <w:szCs w:val="22"/>
        </w:rPr>
      </w:pPr>
      <w:r w:rsidRPr="00151D12">
        <w:rPr>
          <w:rFonts w:asciiTheme="minorHAnsi" w:hAnsiTheme="minorHAnsi" w:cstheme="minorHAnsi"/>
          <w:color w:val="auto"/>
          <w:szCs w:val="22"/>
        </w:rPr>
        <w:t xml:space="preserve">Salute al centro di tutte le decisioni politiche non solo sanitarie, ma anche industriali, ambientali, sociali, economiche e fiscali </w:t>
      </w:r>
    </w:p>
    <w:p w:rsidR="00151D12" w:rsidRPr="00151D12" w:rsidRDefault="00151D12" w:rsidP="00151D12">
      <w:pPr>
        <w:pStyle w:val="Testonormale"/>
        <w:numPr>
          <w:ilvl w:val="0"/>
          <w:numId w:val="24"/>
        </w:numPr>
        <w:spacing w:after="140" w:line="264" w:lineRule="auto"/>
        <w:ind w:left="357" w:hanging="357"/>
        <w:contextualSpacing/>
        <w:jc w:val="both"/>
        <w:rPr>
          <w:rFonts w:asciiTheme="minorHAnsi" w:hAnsiTheme="minorHAnsi" w:cstheme="minorHAnsi"/>
          <w:color w:val="auto"/>
          <w:szCs w:val="22"/>
        </w:rPr>
      </w:pPr>
      <w:r w:rsidRPr="00151D12">
        <w:rPr>
          <w:rFonts w:asciiTheme="minorHAnsi" w:hAnsiTheme="minorHAnsi" w:cstheme="minorHAnsi"/>
          <w:color w:val="auto"/>
          <w:szCs w:val="22"/>
        </w:rPr>
        <w:t>Certezze sulle risorse per la sanità: stop alle periodiche revisioni al ribasso e rilancio del finanziamento pubblico</w:t>
      </w:r>
    </w:p>
    <w:p w:rsidR="00151D12" w:rsidRPr="00151D12" w:rsidRDefault="00151D12" w:rsidP="00151D12">
      <w:pPr>
        <w:pStyle w:val="Testonormale"/>
        <w:numPr>
          <w:ilvl w:val="0"/>
          <w:numId w:val="24"/>
        </w:numPr>
        <w:spacing w:after="140" w:line="264" w:lineRule="auto"/>
        <w:ind w:left="357" w:hanging="357"/>
        <w:contextualSpacing/>
        <w:jc w:val="both"/>
        <w:rPr>
          <w:rFonts w:asciiTheme="minorHAnsi" w:hAnsiTheme="minorHAnsi" w:cstheme="minorHAnsi"/>
          <w:color w:val="auto"/>
          <w:szCs w:val="22"/>
        </w:rPr>
      </w:pPr>
      <w:r w:rsidRPr="00151D12">
        <w:rPr>
          <w:rFonts w:asciiTheme="minorHAnsi" w:hAnsiTheme="minorHAnsi" w:cstheme="minorHAnsi"/>
          <w:color w:val="auto"/>
          <w:szCs w:val="22"/>
        </w:rPr>
        <w:t>Maggiori capacità di indirizzo e verifica dello Stato sulle Regioni nel pieno rispetto delle loro autonomie</w:t>
      </w:r>
    </w:p>
    <w:p w:rsidR="00151D12" w:rsidRPr="00151D12" w:rsidRDefault="00151D12" w:rsidP="00151D12">
      <w:pPr>
        <w:pStyle w:val="Testonormale"/>
        <w:numPr>
          <w:ilvl w:val="0"/>
          <w:numId w:val="24"/>
        </w:numPr>
        <w:spacing w:after="140" w:line="264" w:lineRule="auto"/>
        <w:ind w:left="357" w:hanging="357"/>
        <w:contextualSpacing/>
        <w:jc w:val="both"/>
        <w:rPr>
          <w:rFonts w:asciiTheme="minorHAnsi" w:hAnsiTheme="minorHAnsi" w:cstheme="minorHAnsi"/>
          <w:color w:val="auto"/>
          <w:szCs w:val="22"/>
        </w:rPr>
      </w:pPr>
      <w:r w:rsidRPr="00151D12">
        <w:rPr>
          <w:rFonts w:asciiTheme="minorHAnsi" w:hAnsiTheme="minorHAnsi" w:cstheme="minorHAnsi"/>
          <w:color w:val="auto"/>
          <w:szCs w:val="22"/>
        </w:rPr>
        <w:t>Costruire un servizio socio-sanitario nazionale, perché i bisogni sociali sono strettamente correlati a quelli sanitari</w:t>
      </w:r>
    </w:p>
    <w:p w:rsidR="00151D12" w:rsidRPr="00151D12" w:rsidRDefault="00151D12" w:rsidP="00151D12">
      <w:pPr>
        <w:pStyle w:val="Testonormale"/>
        <w:numPr>
          <w:ilvl w:val="0"/>
          <w:numId w:val="24"/>
        </w:numPr>
        <w:spacing w:after="140" w:line="264" w:lineRule="auto"/>
        <w:ind w:left="357" w:hanging="357"/>
        <w:contextualSpacing/>
        <w:jc w:val="both"/>
        <w:rPr>
          <w:rFonts w:asciiTheme="minorHAnsi" w:hAnsiTheme="minorHAnsi" w:cstheme="minorHAnsi"/>
          <w:color w:val="auto"/>
          <w:szCs w:val="22"/>
        </w:rPr>
      </w:pPr>
      <w:r w:rsidRPr="00151D12">
        <w:rPr>
          <w:rFonts w:asciiTheme="minorHAnsi" w:hAnsiTheme="minorHAnsi" w:cstheme="minorHAnsi"/>
          <w:color w:val="auto"/>
          <w:szCs w:val="22"/>
        </w:rPr>
        <w:t>Ridisegnare il perimetro dei LEA secondo evidenze scientifiche e princìpi di costo-efficacia e rivalutare la detraibilità delle spese mediche secondo gli stessi criteri</w:t>
      </w:r>
    </w:p>
    <w:p w:rsidR="00151D12" w:rsidRPr="00151D12" w:rsidRDefault="00151D12" w:rsidP="00151D12">
      <w:pPr>
        <w:pStyle w:val="Testonormale"/>
        <w:numPr>
          <w:ilvl w:val="0"/>
          <w:numId w:val="24"/>
        </w:numPr>
        <w:spacing w:after="140" w:line="264" w:lineRule="auto"/>
        <w:ind w:left="357" w:hanging="357"/>
        <w:contextualSpacing/>
        <w:jc w:val="both"/>
        <w:rPr>
          <w:rFonts w:asciiTheme="minorHAnsi" w:hAnsiTheme="minorHAnsi" w:cstheme="minorHAnsi"/>
          <w:color w:val="auto"/>
          <w:szCs w:val="22"/>
        </w:rPr>
      </w:pPr>
      <w:r w:rsidRPr="00151D12">
        <w:rPr>
          <w:rFonts w:asciiTheme="minorHAnsi" w:hAnsiTheme="minorHAnsi" w:cstheme="minorHAnsi"/>
          <w:color w:val="auto"/>
          <w:szCs w:val="22"/>
        </w:rPr>
        <w:t>Eliminare il superticket e definire criteri nazionali di compartecipazione alla spesa sanitaria equi e omogenei</w:t>
      </w:r>
    </w:p>
    <w:p w:rsidR="00151D12" w:rsidRPr="00151D12" w:rsidRDefault="00151D12" w:rsidP="00151D12">
      <w:pPr>
        <w:pStyle w:val="Testonormale"/>
        <w:numPr>
          <w:ilvl w:val="0"/>
          <w:numId w:val="24"/>
        </w:numPr>
        <w:spacing w:after="140" w:line="264" w:lineRule="auto"/>
        <w:ind w:left="357" w:hanging="357"/>
        <w:contextualSpacing/>
        <w:jc w:val="both"/>
        <w:rPr>
          <w:rFonts w:asciiTheme="minorHAnsi" w:hAnsiTheme="minorHAnsi" w:cstheme="minorHAnsi"/>
          <w:color w:val="auto"/>
          <w:szCs w:val="22"/>
        </w:rPr>
      </w:pPr>
      <w:r w:rsidRPr="00151D12">
        <w:rPr>
          <w:rFonts w:asciiTheme="minorHAnsi" w:hAnsiTheme="minorHAnsi" w:cstheme="minorHAnsi"/>
          <w:color w:val="auto"/>
          <w:szCs w:val="22"/>
        </w:rPr>
        <w:t xml:space="preserve">Piano nazionale contro gli sprechi in sanità per recuperare almeno 1 dei 2 euro sprecati ogni 10 spesi </w:t>
      </w:r>
    </w:p>
    <w:p w:rsidR="00151D12" w:rsidRPr="00151D12" w:rsidRDefault="00151D12" w:rsidP="00151D12">
      <w:pPr>
        <w:pStyle w:val="Testonormale"/>
        <w:numPr>
          <w:ilvl w:val="0"/>
          <w:numId w:val="24"/>
        </w:numPr>
        <w:spacing w:after="140" w:line="264" w:lineRule="auto"/>
        <w:ind w:left="357" w:hanging="357"/>
        <w:contextualSpacing/>
        <w:jc w:val="both"/>
        <w:rPr>
          <w:rFonts w:asciiTheme="minorHAnsi" w:hAnsiTheme="minorHAnsi" w:cstheme="minorHAnsi"/>
          <w:color w:val="auto"/>
          <w:szCs w:val="22"/>
        </w:rPr>
      </w:pPr>
      <w:r w:rsidRPr="00151D12">
        <w:rPr>
          <w:rFonts w:asciiTheme="minorHAnsi" w:hAnsiTheme="minorHAnsi" w:cstheme="minorHAnsi"/>
          <w:color w:val="auto"/>
          <w:szCs w:val="22"/>
        </w:rPr>
        <w:t>Riordino legislativo della sanità integrativa per evitare derive consumistiche e di privatizzazione</w:t>
      </w:r>
    </w:p>
    <w:p w:rsidR="00151D12" w:rsidRPr="00151D12" w:rsidRDefault="00151D12" w:rsidP="00151D12">
      <w:pPr>
        <w:pStyle w:val="Testonormale"/>
        <w:numPr>
          <w:ilvl w:val="0"/>
          <w:numId w:val="24"/>
        </w:numPr>
        <w:spacing w:after="140" w:line="264" w:lineRule="auto"/>
        <w:ind w:left="357" w:hanging="357"/>
        <w:contextualSpacing/>
        <w:jc w:val="both"/>
        <w:rPr>
          <w:rFonts w:asciiTheme="minorHAnsi" w:hAnsiTheme="minorHAnsi" w:cstheme="minorHAnsi"/>
          <w:color w:val="auto"/>
          <w:szCs w:val="22"/>
        </w:rPr>
      </w:pPr>
      <w:r w:rsidRPr="00151D12">
        <w:rPr>
          <w:rFonts w:asciiTheme="minorHAnsi" w:hAnsiTheme="minorHAnsi" w:cstheme="minorHAnsi"/>
          <w:color w:val="auto"/>
          <w:szCs w:val="22"/>
        </w:rPr>
        <w:t>Sana integrazione pubblico-privato e libera professione regolamentata secondo i reali bisogni di salute delle persone</w:t>
      </w:r>
    </w:p>
    <w:p w:rsidR="00151D12" w:rsidRPr="00151D12" w:rsidRDefault="00151D12" w:rsidP="00151D12">
      <w:pPr>
        <w:pStyle w:val="Testonormale"/>
        <w:numPr>
          <w:ilvl w:val="0"/>
          <w:numId w:val="24"/>
        </w:numPr>
        <w:spacing w:after="140" w:line="264" w:lineRule="auto"/>
        <w:ind w:left="357" w:hanging="357"/>
        <w:contextualSpacing/>
        <w:jc w:val="both"/>
        <w:rPr>
          <w:rFonts w:asciiTheme="minorHAnsi" w:hAnsiTheme="minorHAnsi" w:cstheme="minorHAnsi"/>
          <w:color w:val="auto"/>
          <w:szCs w:val="22"/>
        </w:rPr>
      </w:pPr>
      <w:r w:rsidRPr="00151D12">
        <w:rPr>
          <w:rFonts w:asciiTheme="minorHAnsi" w:hAnsiTheme="minorHAnsi" w:cstheme="minorHAnsi"/>
          <w:color w:val="auto"/>
          <w:szCs w:val="22"/>
        </w:rPr>
        <w:t>Rilanciare le politiche per il personale e programmare adeguatamente il fabbisogno di medici, specialisti e altri professionisti sanitari</w:t>
      </w:r>
    </w:p>
    <w:p w:rsidR="00151D12" w:rsidRPr="00151D12" w:rsidRDefault="00151D12" w:rsidP="00151D12">
      <w:pPr>
        <w:pStyle w:val="Testonormale"/>
        <w:numPr>
          <w:ilvl w:val="0"/>
          <w:numId w:val="24"/>
        </w:numPr>
        <w:spacing w:after="140" w:line="264" w:lineRule="auto"/>
        <w:ind w:left="357" w:hanging="357"/>
        <w:contextualSpacing/>
        <w:jc w:val="both"/>
        <w:rPr>
          <w:rFonts w:asciiTheme="minorHAnsi" w:hAnsiTheme="minorHAnsi" w:cstheme="minorHAnsi"/>
          <w:color w:val="auto"/>
          <w:szCs w:val="22"/>
        </w:rPr>
      </w:pPr>
      <w:r w:rsidRPr="00151D12">
        <w:rPr>
          <w:rFonts w:asciiTheme="minorHAnsi" w:hAnsiTheme="minorHAnsi" w:cstheme="minorHAnsi"/>
          <w:color w:val="auto"/>
          <w:szCs w:val="22"/>
        </w:rPr>
        <w:t xml:space="preserve">Finanziare ricerca clinica e organizzativa: almeno l’1% del fondo sanitario nazionale per rispondere a quesiti rilevanti per il SSN </w:t>
      </w:r>
    </w:p>
    <w:p w:rsidR="00151D12" w:rsidRPr="00151D12" w:rsidRDefault="00151D12" w:rsidP="00151D12">
      <w:pPr>
        <w:pStyle w:val="Testonormale"/>
        <w:numPr>
          <w:ilvl w:val="0"/>
          <w:numId w:val="24"/>
        </w:numPr>
        <w:spacing w:after="140" w:line="264" w:lineRule="auto"/>
        <w:ind w:left="357" w:hanging="357"/>
        <w:contextualSpacing/>
        <w:jc w:val="both"/>
        <w:rPr>
          <w:rFonts w:asciiTheme="minorHAnsi" w:hAnsiTheme="minorHAnsi" w:cstheme="minorHAnsi"/>
          <w:color w:val="auto"/>
          <w:szCs w:val="22"/>
        </w:rPr>
      </w:pPr>
      <w:r w:rsidRPr="00151D12">
        <w:rPr>
          <w:rFonts w:asciiTheme="minorHAnsi" w:hAnsiTheme="minorHAnsi" w:cstheme="minorHAnsi"/>
          <w:color w:val="auto"/>
          <w:szCs w:val="22"/>
        </w:rPr>
        <w:t>Programma nazionale d’informazione scientifica a cittadini e pazienti per debellare le fake-news, ridurre il consumismo sanitario e promuovere decisioni realmente informate.</w:t>
      </w:r>
    </w:p>
    <w:p w:rsidR="00E13656" w:rsidRPr="00151D12" w:rsidRDefault="00151D12" w:rsidP="00151D12">
      <w:pPr>
        <w:spacing w:after="0"/>
        <w:jc w:val="both"/>
        <w:rPr>
          <w:rFonts w:cstheme="minorHAnsi"/>
        </w:rPr>
      </w:pPr>
      <w:r w:rsidRPr="00151D12">
        <w:rPr>
          <w:rFonts w:cstheme="minorHAnsi"/>
        </w:rPr>
        <w:t xml:space="preserve">I 12 punti programmatici del “piano di salvataggio”, che verranno sottoposti a continua rivalutazione attraverso periodiche consultazioni pubbliche, costituiranno il riferimento per l’Osservatorio GIMBE, sia in caso di effettiva “partenza” dell’attuale legislatura per monitorare il programma di Governo per la sanità, sia in caso di ritorno alle urne per un nuovo </w:t>
      </w:r>
      <w:r w:rsidRPr="00151D12">
        <w:rPr>
          <w:rFonts w:cstheme="minorHAnsi"/>
          <w:i/>
        </w:rPr>
        <w:t>fact checking</w:t>
      </w:r>
      <w:r w:rsidRPr="00151D12">
        <w:rPr>
          <w:rFonts w:cstheme="minorHAnsi"/>
        </w:rPr>
        <w:t xml:space="preserve"> dei programmi elettorali.</w:t>
      </w:r>
    </w:p>
    <w:p w:rsidR="00151D12" w:rsidRPr="00151D12" w:rsidRDefault="00151D12" w:rsidP="00151D12">
      <w:pPr>
        <w:spacing w:after="0"/>
        <w:jc w:val="both"/>
        <w:rPr>
          <w:rFonts w:eastAsia="Calibri" w:cstheme="minorHAnsi"/>
        </w:rPr>
      </w:pPr>
    </w:p>
    <w:p w:rsidR="00151D12" w:rsidRPr="00151D12" w:rsidRDefault="005240BD" w:rsidP="00151D12">
      <w:pPr>
        <w:spacing w:after="0"/>
        <w:jc w:val="both"/>
        <w:rPr>
          <w:rFonts w:eastAsia="Calibri" w:cstheme="minorHAnsi"/>
          <w:sz w:val="20"/>
          <w:szCs w:val="20"/>
        </w:rPr>
      </w:pPr>
      <w:r w:rsidRPr="00151D12">
        <w:rPr>
          <w:rFonts w:cstheme="minorHAnsi"/>
        </w:rPr>
        <w:t xml:space="preserve">La versione integrale del 3° Rapporto GIMBE è disponibile all’indirizzo web: </w:t>
      </w:r>
      <w:hyperlink r:id="rId10" w:history="1">
        <w:r w:rsidR="00151D12" w:rsidRPr="00151D12">
          <w:rPr>
            <w:rStyle w:val="Collegamentoipertestuale"/>
            <w:rFonts w:cstheme="minorHAnsi"/>
          </w:rPr>
          <w:t>www.rapportogimbe.it</w:t>
        </w:r>
      </w:hyperlink>
    </w:p>
    <w:sectPr w:rsidR="00151D12" w:rsidRPr="00151D12" w:rsidSect="00E1365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524" w:rsidRDefault="00295524" w:rsidP="00ED0CFD">
      <w:pPr>
        <w:spacing w:after="0" w:line="240" w:lineRule="auto"/>
      </w:pPr>
      <w:r>
        <w:separator/>
      </w:r>
    </w:p>
  </w:endnote>
  <w:endnote w:type="continuationSeparator" w:id="0">
    <w:p w:rsidR="00295524" w:rsidRDefault="00295524" w:rsidP="00ED0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524" w:rsidRDefault="00295524" w:rsidP="00ED0CFD">
      <w:pPr>
        <w:spacing w:after="0" w:line="240" w:lineRule="auto"/>
      </w:pPr>
      <w:r>
        <w:separator/>
      </w:r>
    </w:p>
  </w:footnote>
  <w:footnote w:type="continuationSeparator" w:id="0">
    <w:p w:rsidR="00295524" w:rsidRDefault="00295524" w:rsidP="00ED0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B3606"/>
    <w:multiLevelType w:val="hybridMultilevel"/>
    <w:tmpl w:val="6AF47F8C"/>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8A073A8"/>
    <w:multiLevelType w:val="hybridMultilevel"/>
    <w:tmpl w:val="72908F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EC64119"/>
    <w:multiLevelType w:val="hybridMultilevel"/>
    <w:tmpl w:val="64D6E26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3B0603F"/>
    <w:multiLevelType w:val="hybridMultilevel"/>
    <w:tmpl w:val="518CF2A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6E31A9A"/>
    <w:multiLevelType w:val="hybridMultilevel"/>
    <w:tmpl w:val="7AC435C4"/>
    <w:lvl w:ilvl="0" w:tplc="0410000F">
      <w:start w:val="1"/>
      <w:numFmt w:val="decimal"/>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78259EF"/>
    <w:multiLevelType w:val="hybridMultilevel"/>
    <w:tmpl w:val="D61ED1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BD829D7"/>
    <w:multiLevelType w:val="hybridMultilevel"/>
    <w:tmpl w:val="8C3C60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E46490B"/>
    <w:multiLevelType w:val="hybridMultilevel"/>
    <w:tmpl w:val="889C551A"/>
    <w:lvl w:ilvl="0" w:tplc="307C4A34">
      <w:start w:val="1"/>
      <w:numFmt w:val="bullet"/>
      <w:lvlText w:val=""/>
      <w:lvlJc w:val="left"/>
      <w:pPr>
        <w:ind w:left="360" w:hanging="360"/>
      </w:pPr>
      <w:rPr>
        <w:rFonts w:ascii="Symbol" w:hAnsi="Symbol" w:hint="default"/>
        <w:color w:val="auto"/>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EE34CBC"/>
    <w:multiLevelType w:val="hybridMultilevel"/>
    <w:tmpl w:val="F7168F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F5028A0"/>
    <w:multiLevelType w:val="hybridMultilevel"/>
    <w:tmpl w:val="C9FEBD5A"/>
    <w:lvl w:ilvl="0" w:tplc="A914E83C">
      <w:start w:val="1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82628E5"/>
    <w:multiLevelType w:val="hybridMultilevel"/>
    <w:tmpl w:val="2ABA6530"/>
    <w:lvl w:ilvl="0" w:tplc="FC6C4C0E">
      <w:start w:val="28"/>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48CD1426"/>
    <w:multiLevelType w:val="hybridMultilevel"/>
    <w:tmpl w:val="4CA0E6EA"/>
    <w:lvl w:ilvl="0" w:tplc="5166346A">
      <w:start w:val="1"/>
      <w:numFmt w:val="bullet"/>
      <w:lvlText w:val="•"/>
      <w:lvlJc w:val="left"/>
      <w:pPr>
        <w:tabs>
          <w:tab w:val="num" w:pos="720"/>
        </w:tabs>
        <w:ind w:left="720" w:hanging="360"/>
      </w:pPr>
      <w:rPr>
        <w:rFonts w:ascii="Times New Roman" w:hAnsi="Times New Roman" w:cs="Times New Roman" w:hint="default"/>
      </w:rPr>
    </w:lvl>
    <w:lvl w:ilvl="1" w:tplc="199E43A6">
      <w:start w:val="1"/>
      <w:numFmt w:val="bullet"/>
      <w:lvlText w:val="•"/>
      <w:lvlJc w:val="left"/>
      <w:pPr>
        <w:tabs>
          <w:tab w:val="num" w:pos="1440"/>
        </w:tabs>
        <w:ind w:left="1440" w:hanging="360"/>
      </w:pPr>
      <w:rPr>
        <w:rFonts w:ascii="Times New Roman" w:hAnsi="Times New Roman" w:cs="Times New Roman" w:hint="default"/>
      </w:rPr>
    </w:lvl>
    <w:lvl w:ilvl="2" w:tplc="A1502A9E">
      <w:start w:val="1"/>
      <w:numFmt w:val="bullet"/>
      <w:lvlText w:val="•"/>
      <w:lvlJc w:val="left"/>
      <w:pPr>
        <w:tabs>
          <w:tab w:val="num" w:pos="2160"/>
        </w:tabs>
        <w:ind w:left="2160" w:hanging="360"/>
      </w:pPr>
      <w:rPr>
        <w:rFonts w:ascii="Times New Roman" w:hAnsi="Times New Roman" w:cs="Times New Roman" w:hint="default"/>
      </w:rPr>
    </w:lvl>
    <w:lvl w:ilvl="3" w:tplc="4994264A">
      <w:start w:val="1"/>
      <w:numFmt w:val="bullet"/>
      <w:lvlText w:val="•"/>
      <w:lvlJc w:val="left"/>
      <w:pPr>
        <w:tabs>
          <w:tab w:val="num" w:pos="2880"/>
        </w:tabs>
        <w:ind w:left="2880" w:hanging="360"/>
      </w:pPr>
      <w:rPr>
        <w:rFonts w:ascii="Times New Roman" w:hAnsi="Times New Roman" w:cs="Times New Roman" w:hint="default"/>
      </w:rPr>
    </w:lvl>
    <w:lvl w:ilvl="4" w:tplc="3E40A376">
      <w:start w:val="1"/>
      <w:numFmt w:val="bullet"/>
      <w:lvlText w:val="•"/>
      <w:lvlJc w:val="left"/>
      <w:pPr>
        <w:tabs>
          <w:tab w:val="num" w:pos="3600"/>
        </w:tabs>
        <w:ind w:left="3600" w:hanging="360"/>
      </w:pPr>
      <w:rPr>
        <w:rFonts w:ascii="Times New Roman" w:hAnsi="Times New Roman" w:cs="Times New Roman" w:hint="default"/>
      </w:rPr>
    </w:lvl>
    <w:lvl w:ilvl="5" w:tplc="7F26466A">
      <w:start w:val="1"/>
      <w:numFmt w:val="bullet"/>
      <w:lvlText w:val="•"/>
      <w:lvlJc w:val="left"/>
      <w:pPr>
        <w:tabs>
          <w:tab w:val="num" w:pos="4320"/>
        </w:tabs>
        <w:ind w:left="4320" w:hanging="360"/>
      </w:pPr>
      <w:rPr>
        <w:rFonts w:ascii="Times New Roman" w:hAnsi="Times New Roman" w:cs="Times New Roman" w:hint="default"/>
      </w:rPr>
    </w:lvl>
    <w:lvl w:ilvl="6" w:tplc="DDF46EFE">
      <w:start w:val="1"/>
      <w:numFmt w:val="bullet"/>
      <w:lvlText w:val="•"/>
      <w:lvlJc w:val="left"/>
      <w:pPr>
        <w:tabs>
          <w:tab w:val="num" w:pos="5040"/>
        </w:tabs>
        <w:ind w:left="5040" w:hanging="360"/>
      </w:pPr>
      <w:rPr>
        <w:rFonts w:ascii="Times New Roman" w:hAnsi="Times New Roman" w:cs="Times New Roman" w:hint="default"/>
      </w:rPr>
    </w:lvl>
    <w:lvl w:ilvl="7" w:tplc="8698ED2E">
      <w:start w:val="1"/>
      <w:numFmt w:val="bullet"/>
      <w:lvlText w:val="•"/>
      <w:lvlJc w:val="left"/>
      <w:pPr>
        <w:tabs>
          <w:tab w:val="num" w:pos="5760"/>
        </w:tabs>
        <w:ind w:left="5760" w:hanging="360"/>
      </w:pPr>
      <w:rPr>
        <w:rFonts w:ascii="Times New Roman" w:hAnsi="Times New Roman" w:cs="Times New Roman" w:hint="default"/>
      </w:rPr>
    </w:lvl>
    <w:lvl w:ilvl="8" w:tplc="C78AA426">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4FF1232A"/>
    <w:multiLevelType w:val="multilevel"/>
    <w:tmpl w:val="5AA4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164247"/>
    <w:multiLevelType w:val="hybridMultilevel"/>
    <w:tmpl w:val="A0A2ED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75229DE"/>
    <w:multiLevelType w:val="hybridMultilevel"/>
    <w:tmpl w:val="E9003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8C659F4"/>
    <w:multiLevelType w:val="hybridMultilevel"/>
    <w:tmpl w:val="3A8A0F8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606E2BA6"/>
    <w:multiLevelType w:val="hybridMultilevel"/>
    <w:tmpl w:val="9B20C5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61303CF9"/>
    <w:multiLevelType w:val="hybridMultilevel"/>
    <w:tmpl w:val="76B8F694"/>
    <w:lvl w:ilvl="0" w:tplc="49F6B3C8">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20C3AF4"/>
    <w:multiLevelType w:val="hybridMultilevel"/>
    <w:tmpl w:val="E8D49A7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C0600FA"/>
    <w:multiLevelType w:val="hybridMultilevel"/>
    <w:tmpl w:val="8DEC3E5A"/>
    <w:lvl w:ilvl="0" w:tplc="4EF8FB64">
      <w:start w:val="1"/>
      <w:numFmt w:val="bullet"/>
      <w:lvlText w:val=""/>
      <w:lvlJc w:val="left"/>
      <w:pPr>
        <w:ind w:left="360" w:hanging="360"/>
      </w:pPr>
      <w:rPr>
        <w:rFonts w:ascii="Symbol" w:hAnsi="Symbol" w:hint="default"/>
        <w:color w:val="4F81BD" w:themeColor="accent1"/>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6DB46163"/>
    <w:multiLevelType w:val="hybridMultilevel"/>
    <w:tmpl w:val="B51EB5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6FA854BC"/>
    <w:multiLevelType w:val="multilevel"/>
    <w:tmpl w:val="E098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591BA8"/>
    <w:multiLevelType w:val="hybridMultilevel"/>
    <w:tmpl w:val="BFA0DF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B2879B0"/>
    <w:multiLevelType w:val="hybridMultilevel"/>
    <w:tmpl w:val="41CA392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23"/>
  </w:num>
  <w:num w:numId="2">
    <w:abstractNumId w:val="20"/>
  </w:num>
  <w:num w:numId="3">
    <w:abstractNumId w:val="10"/>
  </w:num>
  <w:num w:numId="4">
    <w:abstractNumId w:val="21"/>
  </w:num>
  <w:num w:numId="5">
    <w:abstractNumId w:val="12"/>
  </w:num>
  <w:num w:numId="6">
    <w:abstractNumId w:val="9"/>
  </w:num>
  <w:num w:numId="7">
    <w:abstractNumId w:val="18"/>
  </w:num>
  <w:num w:numId="8">
    <w:abstractNumId w:val="16"/>
  </w:num>
  <w:num w:numId="9">
    <w:abstractNumId w:val="0"/>
  </w:num>
  <w:num w:numId="10">
    <w:abstractNumId w:val="1"/>
  </w:num>
  <w:num w:numId="11">
    <w:abstractNumId w:val="5"/>
  </w:num>
  <w:num w:numId="12">
    <w:abstractNumId w:val="6"/>
  </w:num>
  <w:num w:numId="13">
    <w:abstractNumId w:val="14"/>
  </w:num>
  <w:num w:numId="14">
    <w:abstractNumId w:val="3"/>
  </w:num>
  <w:num w:numId="15">
    <w:abstractNumId w:val="13"/>
  </w:num>
  <w:num w:numId="16">
    <w:abstractNumId w:val="22"/>
  </w:num>
  <w:num w:numId="17">
    <w:abstractNumId w:val="11"/>
  </w:num>
  <w:num w:numId="18">
    <w:abstractNumId w:val="7"/>
  </w:num>
  <w:num w:numId="19">
    <w:abstractNumId w:val="19"/>
  </w:num>
  <w:num w:numId="20">
    <w:abstractNumId w:val="17"/>
  </w:num>
  <w:num w:numId="21">
    <w:abstractNumId w:val="2"/>
  </w:num>
  <w:num w:numId="22">
    <w:abstractNumId w:val="15"/>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91"/>
    <w:rsid w:val="000007FC"/>
    <w:rsid w:val="0000149C"/>
    <w:rsid w:val="00002AAC"/>
    <w:rsid w:val="00002C1B"/>
    <w:rsid w:val="00003744"/>
    <w:rsid w:val="00003F78"/>
    <w:rsid w:val="00004B0A"/>
    <w:rsid w:val="00005B25"/>
    <w:rsid w:val="000064FE"/>
    <w:rsid w:val="00006555"/>
    <w:rsid w:val="0000695A"/>
    <w:rsid w:val="00010498"/>
    <w:rsid w:val="000123C4"/>
    <w:rsid w:val="0001384A"/>
    <w:rsid w:val="00013DFA"/>
    <w:rsid w:val="0001439D"/>
    <w:rsid w:val="00015D8E"/>
    <w:rsid w:val="00017968"/>
    <w:rsid w:val="00017FB4"/>
    <w:rsid w:val="00021D7F"/>
    <w:rsid w:val="00023D8A"/>
    <w:rsid w:val="000252D2"/>
    <w:rsid w:val="00034188"/>
    <w:rsid w:val="000346D7"/>
    <w:rsid w:val="00035404"/>
    <w:rsid w:val="00035C47"/>
    <w:rsid w:val="00036089"/>
    <w:rsid w:val="0004410A"/>
    <w:rsid w:val="00051F7A"/>
    <w:rsid w:val="0005402C"/>
    <w:rsid w:val="00054250"/>
    <w:rsid w:val="00055180"/>
    <w:rsid w:val="00055AE9"/>
    <w:rsid w:val="00055D27"/>
    <w:rsid w:val="000602AA"/>
    <w:rsid w:val="0006440E"/>
    <w:rsid w:val="000657A8"/>
    <w:rsid w:val="000662E3"/>
    <w:rsid w:val="00067ACA"/>
    <w:rsid w:val="00067B8F"/>
    <w:rsid w:val="000707B3"/>
    <w:rsid w:val="000715A9"/>
    <w:rsid w:val="00071F0A"/>
    <w:rsid w:val="00073870"/>
    <w:rsid w:val="00074788"/>
    <w:rsid w:val="00076A48"/>
    <w:rsid w:val="000771A4"/>
    <w:rsid w:val="000815B7"/>
    <w:rsid w:val="000863FA"/>
    <w:rsid w:val="00090A39"/>
    <w:rsid w:val="00090B7E"/>
    <w:rsid w:val="00090CF8"/>
    <w:rsid w:val="000927C7"/>
    <w:rsid w:val="000935F1"/>
    <w:rsid w:val="00095589"/>
    <w:rsid w:val="000A0FC3"/>
    <w:rsid w:val="000A1367"/>
    <w:rsid w:val="000A2084"/>
    <w:rsid w:val="000A226B"/>
    <w:rsid w:val="000A58EB"/>
    <w:rsid w:val="000A62A9"/>
    <w:rsid w:val="000A7B66"/>
    <w:rsid w:val="000B07B0"/>
    <w:rsid w:val="000B185F"/>
    <w:rsid w:val="000B1C52"/>
    <w:rsid w:val="000B2168"/>
    <w:rsid w:val="000B50CD"/>
    <w:rsid w:val="000B7985"/>
    <w:rsid w:val="000C098C"/>
    <w:rsid w:val="000C0B04"/>
    <w:rsid w:val="000C344B"/>
    <w:rsid w:val="000C544C"/>
    <w:rsid w:val="000C6130"/>
    <w:rsid w:val="000D02E4"/>
    <w:rsid w:val="000D1377"/>
    <w:rsid w:val="000D17FB"/>
    <w:rsid w:val="000D25AC"/>
    <w:rsid w:val="000D3C58"/>
    <w:rsid w:val="000D44D4"/>
    <w:rsid w:val="000D5771"/>
    <w:rsid w:val="000D5893"/>
    <w:rsid w:val="000D7252"/>
    <w:rsid w:val="000D7A72"/>
    <w:rsid w:val="000E2E4F"/>
    <w:rsid w:val="000E6B01"/>
    <w:rsid w:val="000E7CC2"/>
    <w:rsid w:val="000F0BBD"/>
    <w:rsid w:val="000F10F8"/>
    <w:rsid w:val="000F39EF"/>
    <w:rsid w:val="000F5C0F"/>
    <w:rsid w:val="0010059E"/>
    <w:rsid w:val="001020FC"/>
    <w:rsid w:val="001043DB"/>
    <w:rsid w:val="0010685E"/>
    <w:rsid w:val="00107096"/>
    <w:rsid w:val="00107984"/>
    <w:rsid w:val="0011205F"/>
    <w:rsid w:val="001139A6"/>
    <w:rsid w:val="00113D4A"/>
    <w:rsid w:val="00113F3C"/>
    <w:rsid w:val="001167D9"/>
    <w:rsid w:val="0011796A"/>
    <w:rsid w:val="00117F68"/>
    <w:rsid w:val="00125838"/>
    <w:rsid w:val="00125C6A"/>
    <w:rsid w:val="001262A5"/>
    <w:rsid w:val="001317CF"/>
    <w:rsid w:val="00132082"/>
    <w:rsid w:val="00134C8C"/>
    <w:rsid w:val="00143689"/>
    <w:rsid w:val="00144F94"/>
    <w:rsid w:val="001458FE"/>
    <w:rsid w:val="001471AF"/>
    <w:rsid w:val="001504F4"/>
    <w:rsid w:val="00150EF3"/>
    <w:rsid w:val="00151D12"/>
    <w:rsid w:val="0015229D"/>
    <w:rsid w:val="001560D3"/>
    <w:rsid w:val="00162FBC"/>
    <w:rsid w:val="0016375C"/>
    <w:rsid w:val="00163D48"/>
    <w:rsid w:val="001654A5"/>
    <w:rsid w:val="00170760"/>
    <w:rsid w:val="00170B46"/>
    <w:rsid w:val="00171767"/>
    <w:rsid w:val="00173764"/>
    <w:rsid w:val="0017405D"/>
    <w:rsid w:val="001748BA"/>
    <w:rsid w:val="00185966"/>
    <w:rsid w:val="00192DAD"/>
    <w:rsid w:val="00192F75"/>
    <w:rsid w:val="00193F19"/>
    <w:rsid w:val="00194C03"/>
    <w:rsid w:val="001A3E0D"/>
    <w:rsid w:val="001A3E96"/>
    <w:rsid w:val="001A6181"/>
    <w:rsid w:val="001B59E3"/>
    <w:rsid w:val="001C51E2"/>
    <w:rsid w:val="001C7324"/>
    <w:rsid w:val="001D0E41"/>
    <w:rsid w:val="001D153D"/>
    <w:rsid w:val="001D19F1"/>
    <w:rsid w:val="001D240E"/>
    <w:rsid w:val="001D38B9"/>
    <w:rsid w:val="001D4CE8"/>
    <w:rsid w:val="001E42B9"/>
    <w:rsid w:val="001E53AB"/>
    <w:rsid w:val="001E6902"/>
    <w:rsid w:val="001F1C35"/>
    <w:rsid w:val="001F20B8"/>
    <w:rsid w:val="002020DB"/>
    <w:rsid w:val="00202A01"/>
    <w:rsid w:val="0020435A"/>
    <w:rsid w:val="00206047"/>
    <w:rsid w:val="002073BD"/>
    <w:rsid w:val="00207B90"/>
    <w:rsid w:val="00210158"/>
    <w:rsid w:val="0021155E"/>
    <w:rsid w:val="0022389A"/>
    <w:rsid w:val="00223F01"/>
    <w:rsid w:val="00224E88"/>
    <w:rsid w:val="00233EF5"/>
    <w:rsid w:val="002349C3"/>
    <w:rsid w:val="00235FC2"/>
    <w:rsid w:val="0023771D"/>
    <w:rsid w:val="00241E9C"/>
    <w:rsid w:val="00242077"/>
    <w:rsid w:val="00243B76"/>
    <w:rsid w:val="00243F05"/>
    <w:rsid w:val="0025100A"/>
    <w:rsid w:val="00251386"/>
    <w:rsid w:val="00251AC2"/>
    <w:rsid w:val="00251D02"/>
    <w:rsid w:val="002534BD"/>
    <w:rsid w:val="002551A1"/>
    <w:rsid w:val="00260A01"/>
    <w:rsid w:val="00261479"/>
    <w:rsid w:val="00262274"/>
    <w:rsid w:val="00265B05"/>
    <w:rsid w:val="00266561"/>
    <w:rsid w:val="00266E0C"/>
    <w:rsid w:val="00266E1A"/>
    <w:rsid w:val="002723FC"/>
    <w:rsid w:val="0027468B"/>
    <w:rsid w:val="00282655"/>
    <w:rsid w:val="00282DAE"/>
    <w:rsid w:val="00284792"/>
    <w:rsid w:val="00287105"/>
    <w:rsid w:val="00287452"/>
    <w:rsid w:val="00291602"/>
    <w:rsid w:val="00293854"/>
    <w:rsid w:val="0029392F"/>
    <w:rsid w:val="00295524"/>
    <w:rsid w:val="00297583"/>
    <w:rsid w:val="002A2034"/>
    <w:rsid w:val="002A3232"/>
    <w:rsid w:val="002A5A93"/>
    <w:rsid w:val="002B12E6"/>
    <w:rsid w:val="002B1329"/>
    <w:rsid w:val="002B7295"/>
    <w:rsid w:val="002B7C26"/>
    <w:rsid w:val="002B7F03"/>
    <w:rsid w:val="002C0B56"/>
    <w:rsid w:val="002C0B93"/>
    <w:rsid w:val="002C0F1B"/>
    <w:rsid w:val="002C4190"/>
    <w:rsid w:val="002C433C"/>
    <w:rsid w:val="002C4460"/>
    <w:rsid w:val="002C5187"/>
    <w:rsid w:val="002C5517"/>
    <w:rsid w:val="002D1354"/>
    <w:rsid w:val="002D1A9D"/>
    <w:rsid w:val="002D1CBC"/>
    <w:rsid w:val="002D2C39"/>
    <w:rsid w:val="002D390F"/>
    <w:rsid w:val="002D4D2D"/>
    <w:rsid w:val="002D61E1"/>
    <w:rsid w:val="002D7409"/>
    <w:rsid w:val="002E2D66"/>
    <w:rsid w:val="002E33A2"/>
    <w:rsid w:val="002E3609"/>
    <w:rsid w:val="002E5382"/>
    <w:rsid w:val="002E5E3C"/>
    <w:rsid w:val="002F07F4"/>
    <w:rsid w:val="002F2E6A"/>
    <w:rsid w:val="002F323D"/>
    <w:rsid w:val="002F605D"/>
    <w:rsid w:val="00300EF7"/>
    <w:rsid w:val="00305113"/>
    <w:rsid w:val="00310511"/>
    <w:rsid w:val="00310654"/>
    <w:rsid w:val="00311E5C"/>
    <w:rsid w:val="003121F3"/>
    <w:rsid w:val="00313AD1"/>
    <w:rsid w:val="00315407"/>
    <w:rsid w:val="00315734"/>
    <w:rsid w:val="0031648A"/>
    <w:rsid w:val="0031755E"/>
    <w:rsid w:val="00321C3D"/>
    <w:rsid w:val="00323798"/>
    <w:rsid w:val="00323A55"/>
    <w:rsid w:val="00325E98"/>
    <w:rsid w:val="003268D1"/>
    <w:rsid w:val="00326DCF"/>
    <w:rsid w:val="00327AF0"/>
    <w:rsid w:val="00330694"/>
    <w:rsid w:val="00330A9B"/>
    <w:rsid w:val="00331B49"/>
    <w:rsid w:val="00331F29"/>
    <w:rsid w:val="00333A1D"/>
    <w:rsid w:val="0033460B"/>
    <w:rsid w:val="00334F92"/>
    <w:rsid w:val="0033752D"/>
    <w:rsid w:val="0034291E"/>
    <w:rsid w:val="003456F8"/>
    <w:rsid w:val="00347675"/>
    <w:rsid w:val="00347BD4"/>
    <w:rsid w:val="00347CD5"/>
    <w:rsid w:val="00350B80"/>
    <w:rsid w:val="00351462"/>
    <w:rsid w:val="00353E36"/>
    <w:rsid w:val="003554E0"/>
    <w:rsid w:val="00355DBF"/>
    <w:rsid w:val="003576FF"/>
    <w:rsid w:val="00357F80"/>
    <w:rsid w:val="0036304D"/>
    <w:rsid w:val="003631B2"/>
    <w:rsid w:val="00363764"/>
    <w:rsid w:val="0036462F"/>
    <w:rsid w:val="00367A4B"/>
    <w:rsid w:val="00372887"/>
    <w:rsid w:val="00373EDC"/>
    <w:rsid w:val="00374404"/>
    <w:rsid w:val="00375C4D"/>
    <w:rsid w:val="00380A73"/>
    <w:rsid w:val="00382F29"/>
    <w:rsid w:val="00384AF1"/>
    <w:rsid w:val="00385A79"/>
    <w:rsid w:val="00386385"/>
    <w:rsid w:val="00387555"/>
    <w:rsid w:val="0039006E"/>
    <w:rsid w:val="00391AD2"/>
    <w:rsid w:val="00393B9D"/>
    <w:rsid w:val="00394823"/>
    <w:rsid w:val="003955A0"/>
    <w:rsid w:val="003978DA"/>
    <w:rsid w:val="003A13B4"/>
    <w:rsid w:val="003A47A3"/>
    <w:rsid w:val="003A72AE"/>
    <w:rsid w:val="003B1262"/>
    <w:rsid w:val="003B4A8D"/>
    <w:rsid w:val="003B5D7A"/>
    <w:rsid w:val="003B72C4"/>
    <w:rsid w:val="003C276B"/>
    <w:rsid w:val="003C3908"/>
    <w:rsid w:val="003C48B6"/>
    <w:rsid w:val="003C7C89"/>
    <w:rsid w:val="003D4318"/>
    <w:rsid w:val="003D6200"/>
    <w:rsid w:val="003D66C8"/>
    <w:rsid w:val="003D6B2B"/>
    <w:rsid w:val="003E0375"/>
    <w:rsid w:val="003E2B21"/>
    <w:rsid w:val="003E4422"/>
    <w:rsid w:val="003E4FF7"/>
    <w:rsid w:val="003F1AAC"/>
    <w:rsid w:val="003F35EF"/>
    <w:rsid w:val="003F3B35"/>
    <w:rsid w:val="003F470F"/>
    <w:rsid w:val="004052B2"/>
    <w:rsid w:val="00405C0C"/>
    <w:rsid w:val="00405FC1"/>
    <w:rsid w:val="00410B6F"/>
    <w:rsid w:val="00412253"/>
    <w:rsid w:val="00415770"/>
    <w:rsid w:val="00415FC6"/>
    <w:rsid w:val="004179EB"/>
    <w:rsid w:val="00426711"/>
    <w:rsid w:val="00430270"/>
    <w:rsid w:val="004303BA"/>
    <w:rsid w:val="00434060"/>
    <w:rsid w:val="00436E44"/>
    <w:rsid w:val="00437173"/>
    <w:rsid w:val="0044012A"/>
    <w:rsid w:val="00441D52"/>
    <w:rsid w:val="00442312"/>
    <w:rsid w:val="004432F6"/>
    <w:rsid w:val="004446C5"/>
    <w:rsid w:val="004469F9"/>
    <w:rsid w:val="00446F85"/>
    <w:rsid w:val="004522B4"/>
    <w:rsid w:val="00452891"/>
    <w:rsid w:val="00452900"/>
    <w:rsid w:val="00452A5B"/>
    <w:rsid w:val="00452CED"/>
    <w:rsid w:val="00453189"/>
    <w:rsid w:val="00454813"/>
    <w:rsid w:val="00456AC9"/>
    <w:rsid w:val="004619D4"/>
    <w:rsid w:val="00461BFF"/>
    <w:rsid w:val="0046257E"/>
    <w:rsid w:val="004642C0"/>
    <w:rsid w:val="0046775E"/>
    <w:rsid w:val="00470D92"/>
    <w:rsid w:val="00475510"/>
    <w:rsid w:val="0047586E"/>
    <w:rsid w:val="00475D67"/>
    <w:rsid w:val="00480E9D"/>
    <w:rsid w:val="00485168"/>
    <w:rsid w:val="004851ED"/>
    <w:rsid w:val="0048588A"/>
    <w:rsid w:val="00490397"/>
    <w:rsid w:val="00490692"/>
    <w:rsid w:val="004952D7"/>
    <w:rsid w:val="00496108"/>
    <w:rsid w:val="00496192"/>
    <w:rsid w:val="00497373"/>
    <w:rsid w:val="004A0830"/>
    <w:rsid w:val="004A0E05"/>
    <w:rsid w:val="004A11C7"/>
    <w:rsid w:val="004A18D7"/>
    <w:rsid w:val="004A1B26"/>
    <w:rsid w:val="004A4A80"/>
    <w:rsid w:val="004A5489"/>
    <w:rsid w:val="004B7AD5"/>
    <w:rsid w:val="004C17CB"/>
    <w:rsid w:val="004C420E"/>
    <w:rsid w:val="004C7929"/>
    <w:rsid w:val="004D0248"/>
    <w:rsid w:val="004D0BDF"/>
    <w:rsid w:val="004D3A0B"/>
    <w:rsid w:val="004D469E"/>
    <w:rsid w:val="004D4B67"/>
    <w:rsid w:val="004E3A57"/>
    <w:rsid w:val="004E4BBD"/>
    <w:rsid w:val="004E5018"/>
    <w:rsid w:val="004E5200"/>
    <w:rsid w:val="004E5EFE"/>
    <w:rsid w:val="004F064A"/>
    <w:rsid w:val="004F0FD3"/>
    <w:rsid w:val="004F3FEB"/>
    <w:rsid w:val="004F6AEC"/>
    <w:rsid w:val="005014CD"/>
    <w:rsid w:val="00501793"/>
    <w:rsid w:val="00505BFD"/>
    <w:rsid w:val="005074D5"/>
    <w:rsid w:val="00510AA1"/>
    <w:rsid w:val="00511E6F"/>
    <w:rsid w:val="005127CE"/>
    <w:rsid w:val="00512879"/>
    <w:rsid w:val="00513282"/>
    <w:rsid w:val="005204CB"/>
    <w:rsid w:val="0052211A"/>
    <w:rsid w:val="00522208"/>
    <w:rsid w:val="005240BD"/>
    <w:rsid w:val="00524BCF"/>
    <w:rsid w:val="00524F37"/>
    <w:rsid w:val="00525AEA"/>
    <w:rsid w:val="00525FA8"/>
    <w:rsid w:val="005272D8"/>
    <w:rsid w:val="00530B7D"/>
    <w:rsid w:val="00531EA2"/>
    <w:rsid w:val="00532D90"/>
    <w:rsid w:val="00533D48"/>
    <w:rsid w:val="00535A6B"/>
    <w:rsid w:val="005419E9"/>
    <w:rsid w:val="00541DC9"/>
    <w:rsid w:val="00542475"/>
    <w:rsid w:val="005440CF"/>
    <w:rsid w:val="00546397"/>
    <w:rsid w:val="00550C9C"/>
    <w:rsid w:val="00551444"/>
    <w:rsid w:val="005516A8"/>
    <w:rsid w:val="005533C4"/>
    <w:rsid w:val="00560786"/>
    <w:rsid w:val="0056268F"/>
    <w:rsid w:val="00565C3C"/>
    <w:rsid w:val="00566974"/>
    <w:rsid w:val="00567623"/>
    <w:rsid w:val="0057085B"/>
    <w:rsid w:val="00570C6B"/>
    <w:rsid w:val="00572DF6"/>
    <w:rsid w:val="00573388"/>
    <w:rsid w:val="00573AB6"/>
    <w:rsid w:val="00577D77"/>
    <w:rsid w:val="00580725"/>
    <w:rsid w:val="005807CD"/>
    <w:rsid w:val="00586657"/>
    <w:rsid w:val="00586FDE"/>
    <w:rsid w:val="00587B6A"/>
    <w:rsid w:val="00587C9B"/>
    <w:rsid w:val="00587F5D"/>
    <w:rsid w:val="00590E5A"/>
    <w:rsid w:val="005940D1"/>
    <w:rsid w:val="00594E34"/>
    <w:rsid w:val="00596B3D"/>
    <w:rsid w:val="005A2279"/>
    <w:rsid w:val="005A2BB7"/>
    <w:rsid w:val="005A3A8D"/>
    <w:rsid w:val="005A4ADA"/>
    <w:rsid w:val="005A6F2F"/>
    <w:rsid w:val="005B283E"/>
    <w:rsid w:val="005B3A18"/>
    <w:rsid w:val="005B41AA"/>
    <w:rsid w:val="005B4F61"/>
    <w:rsid w:val="005B57EF"/>
    <w:rsid w:val="005C5968"/>
    <w:rsid w:val="005C7707"/>
    <w:rsid w:val="005D133C"/>
    <w:rsid w:val="005D33D4"/>
    <w:rsid w:val="005D5CF2"/>
    <w:rsid w:val="005D7FCA"/>
    <w:rsid w:val="005E1232"/>
    <w:rsid w:val="005E37DA"/>
    <w:rsid w:val="005E485F"/>
    <w:rsid w:val="005F3758"/>
    <w:rsid w:val="005F71F9"/>
    <w:rsid w:val="006002AA"/>
    <w:rsid w:val="00611C67"/>
    <w:rsid w:val="00614076"/>
    <w:rsid w:val="00614E5A"/>
    <w:rsid w:val="00616235"/>
    <w:rsid w:val="00620244"/>
    <w:rsid w:val="00620B8A"/>
    <w:rsid w:val="0062275E"/>
    <w:rsid w:val="0062554E"/>
    <w:rsid w:val="00630230"/>
    <w:rsid w:val="00631233"/>
    <w:rsid w:val="0063197E"/>
    <w:rsid w:val="00636EB6"/>
    <w:rsid w:val="00640B8B"/>
    <w:rsid w:val="00640FE7"/>
    <w:rsid w:val="00643AB4"/>
    <w:rsid w:val="00643E28"/>
    <w:rsid w:val="00645153"/>
    <w:rsid w:val="006455B8"/>
    <w:rsid w:val="00646223"/>
    <w:rsid w:val="00647993"/>
    <w:rsid w:val="00650304"/>
    <w:rsid w:val="006529FA"/>
    <w:rsid w:val="006535F8"/>
    <w:rsid w:val="00653B45"/>
    <w:rsid w:val="00657376"/>
    <w:rsid w:val="00663B7B"/>
    <w:rsid w:val="006640FF"/>
    <w:rsid w:val="00667145"/>
    <w:rsid w:val="006673BB"/>
    <w:rsid w:val="006707F5"/>
    <w:rsid w:val="00670AD9"/>
    <w:rsid w:val="006713C2"/>
    <w:rsid w:val="00671713"/>
    <w:rsid w:val="00672EDC"/>
    <w:rsid w:val="00673AE4"/>
    <w:rsid w:val="0067402D"/>
    <w:rsid w:val="00675E56"/>
    <w:rsid w:val="0067632C"/>
    <w:rsid w:val="00677934"/>
    <w:rsid w:val="00677A85"/>
    <w:rsid w:val="006805A5"/>
    <w:rsid w:val="00680B51"/>
    <w:rsid w:val="006821E3"/>
    <w:rsid w:val="00685DB6"/>
    <w:rsid w:val="0069299B"/>
    <w:rsid w:val="00693518"/>
    <w:rsid w:val="00694C51"/>
    <w:rsid w:val="006955E7"/>
    <w:rsid w:val="00695FCF"/>
    <w:rsid w:val="00696965"/>
    <w:rsid w:val="00696DDA"/>
    <w:rsid w:val="006970D5"/>
    <w:rsid w:val="006A013E"/>
    <w:rsid w:val="006A0B4A"/>
    <w:rsid w:val="006A135C"/>
    <w:rsid w:val="006A4CFB"/>
    <w:rsid w:val="006A71A2"/>
    <w:rsid w:val="006B0DD2"/>
    <w:rsid w:val="006B2505"/>
    <w:rsid w:val="006B4075"/>
    <w:rsid w:val="006B5E7A"/>
    <w:rsid w:val="006B6956"/>
    <w:rsid w:val="006C09E3"/>
    <w:rsid w:val="006C0A34"/>
    <w:rsid w:val="006C3B4B"/>
    <w:rsid w:val="006C41FF"/>
    <w:rsid w:val="006C4E62"/>
    <w:rsid w:val="006D30E8"/>
    <w:rsid w:val="006D502F"/>
    <w:rsid w:val="006D5067"/>
    <w:rsid w:val="006D5713"/>
    <w:rsid w:val="006E1EA3"/>
    <w:rsid w:val="006E265E"/>
    <w:rsid w:val="006E27FD"/>
    <w:rsid w:val="006E4DAD"/>
    <w:rsid w:val="006E6CC2"/>
    <w:rsid w:val="006F5C05"/>
    <w:rsid w:val="006F5E1D"/>
    <w:rsid w:val="006F6ADA"/>
    <w:rsid w:val="006F707F"/>
    <w:rsid w:val="0070382E"/>
    <w:rsid w:val="0070621C"/>
    <w:rsid w:val="00706682"/>
    <w:rsid w:val="00707993"/>
    <w:rsid w:val="0071123A"/>
    <w:rsid w:val="00711E25"/>
    <w:rsid w:val="00712AC4"/>
    <w:rsid w:val="00712FB7"/>
    <w:rsid w:val="007138CC"/>
    <w:rsid w:val="0071439B"/>
    <w:rsid w:val="0072122E"/>
    <w:rsid w:val="00723B85"/>
    <w:rsid w:val="007257B8"/>
    <w:rsid w:val="00727A83"/>
    <w:rsid w:val="00730A03"/>
    <w:rsid w:val="0073174A"/>
    <w:rsid w:val="007333BE"/>
    <w:rsid w:val="007335A8"/>
    <w:rsid w:val="00735079"/>
    <w:rsid w:val="0073593C"/>
    <w:rsid w:val="00736A14"/>
    <w:rsid w:val="00737013"/>
    <w:rsid w:val="0073764E"/>
    <w:rsid w:val="00737DDD"/>
    <w:rsid w:val="0075099D"/>
    <w:rsid w:val="00752052"/>
    <w:rsid w:val="00754EA3"/>
    <w:rsid w:val="00756B84"/>
    <w:rsid w:val="00757A75"/>
    <w:rsid w:val="00760136"/>
    <w:rsid w:val="00760496"/>
    <w:rsid w:val="0076053B"/>
    <w:rsid w:val="00763FB0"/>
    <w:rsid w:val="007644E5"/>
    <w:rsid w:val="00765150"/>
    <w:rsid w:val="00770D2D"/>
    <w:rsid w:val="00770D5D"/>
    <w:rsid w:val="00772C0B"/>
    <w:rsid w:val="007738D0"/>
    <w:rsid w:val="00773EC0"/>
    <w:rsid w:val="00774DA4"/>
    <w:rsid w:val="00774E33"/>
    <w:rsid w:val="0077567A"/>
    <w:rsid w:val="00775DA1"/>
    <w:rsid w:val="00777690"/>
    <w:rsid w:val="00780533"/>
    <w:rsid w:val="00783A0B"/>
    <w:rsid w:val="00784DD0"/>
    <w:rsid w:val="0078737D"/>
    <w:rsid w:val="00790464"/>
    <w:rsid w:val="00791D81"/>
    <w:rsid w:val="007939B6"/>
    <w:rsid w:val="007964C7"/>
    <w:rsid w:val="007A35B4"/>
    <w:rsid w:val="007A4846"/>
    <w:rsid w:val="007A4969"/>
    <w:rsid w:val="007A66DF"/>
    <w:rsid w:val="007A6D9A"/>
    <w:rsid w:val="007A6FD9"/>
    <w:rsid w:val="007A7C15"/>
    <w:rsid w:val="007B01D2"/>
    <w:rsid w:val="007B05F7"/>
    <w:rsid w:val="007B1924"/>
    <w:rsid w:val="007B199A"/>
    <w:rsid w:val="007B1BA6"/>
    <w:rsid w:val="007B48F8"/>
    <w:rsid w:val="007B51E6"/>
    <w:rsid w:val="007B55B5"/>
    <w:rsid w:val="007B5624"/>
    <w:rsid w:val="007C3D92"/>
    <w:rsid w:val="007C5420"/>
    <w:rsid w:val="007D1008"/>
    <w:rsid w:val="007D1B67"/>
    <w:rsid w:val="007D2672"/>
    <w:rsid w:val="007D4B6B"/>
    <w:rsid w:val="007D62DC"/>
    <w:rsid w:val="007D7930"/>
    <w:rsid w:val="007D7CCF"/>
    <w:rsid w:val="007E0965"/>
    <w:rsid w:val="007E58BF"/>
    <w:rsid w:val="007E728E"/>
    <w:rsid w:val="007E784C"/>
    <w:rsid w:val="007F130A"/>
    <w:rsid w:val="007F3D4F"/>
    <w:rsid w:val="007F46C8"/>
    <w:rsid w:val="007F5D18"/>
    <w:rsid w:val="00801420"/>
    <w:rsid w:val="00802069"/>
    <w:rsid w:val="008025DC"/>
    <w:rsid w:val="00802652"/>
    <w:rsid w:val="00803C62"/>
    <w:rsid w:val="00806EC8"/>
    <w:rsid w:val="00814CE9"/>
    <w:rsid w:val="00815D73"/>
    <w:rsid w:val="008176D9"/>
    <w:rsid w:val="00820BE1"/>
    <w:rsid w:val="00825BCB"/>
    <w:rsid w:val="0082609D"/>
    <w:rsid w:val="008270A6"/>
    <w:rsid w:val="00827BB7"/>
    <w:rsid w:val="00831988"/>
    <w:rsid w:val="00832233"/>
    <w:rsid w:val="00832428"/>
    <w:rsid w:val="00832BDC"/>
    <w:rsid w:val="008335D7"/>
    <w:rsid w:val="0083364D"/>
    <w:rsid w:val="008340F1"/>
    <w:rsid w:val="00834A4A"/>
    <w:rsid w:val="0083539A"/>
    <w:rsid w:val="0083564F"/>
    <w:rsid w:val="008356C6"/>
    <w:rsid w:val="0083673F"/>
    <w:rsid w:val="00837B9C"/>
    <w:rsid w:val="008409F8"/>
    <w:rsid w:val="00844028"/>
    <w:rsid w:val="0084493B"/>
    <w:rsid w:val="00844B59"/>
    <w:rsid w:val="00844F82"/>
    <w:rsid w:val="00845D51"/>
    <w:rsid w:val="008469EE"/>
    <w:rsid w:val="008513F9"/>
    <w:rsid w:val="008521CA"/>
    <w:rsid w:val="008566B3"/>
    <w:rsid w:val="00856765"/>
    <w:rsid w:val="0085760A"/>
    <w:rsid w:val="00862746"/>
    <w:rsid w:val="008638C5"/>
    <w:rsid w:val="00864335"/>
    <w:rsid w:val="00867AEB"/>
    <w:rsid w:val="008775A4"/>
    <w:rsid w:val="008809B6"/>
    <w:rsid w:val="00881122"/>
    <w:rsid w:val="00881AF4"/>
    <w:rsid w:val="008834FE"/>
    <w:rsid w:val="00883BC1"/>
    <w:rsid w:val="00884AE7"/>
    <w:rsid w:val="00886263"/>
    <w:rsid w:val="00890070"/>
    <w:rsid w:val="00890405"/>
    <w:rsid w:val="008920DC"/>
    <w:rsid w:val="008927EE"/>
    <w:rsid w:val="008956D1"/>
    <w:rsid w:val="008957EF"/>
    <w:rsid w:val="00895BB6"/>
    <w:rsid w:val="008972B2"/>
    <w:rsid w:val="008976A1"/>
    <w:rsid w:val="00897CA1"/>
    <w:rsid w:val="008A0E25"/>
    <w:rsid w:val="008A1766"/>
    <w:rsid w:val="008A1D53"/>
    <w:rsid w:val="008B2BA7"/>
    <w:rsid w:val="008B3494"/>
    <w:rsid w:val="008B5FC3"/>
    <w:rsid w:val="008B7022"/>
    <w:rsid w:val="008C0A82"/>
    <w:rsid w:val="008C4980"/>
    <w:rsid w:val="008C5798"/>
    <w:rsid w:val="008D2BDD"/>
    <w:rsid w:val="008D33F8"/>
    <w:rsid w:val="008D4BC6"/>
    <w:rsid w:val="008E190A"/>
    <w:rsid w:val="008E4AD4"/>
    <w:rsid w:val="008F1906"/>
    <w:rsid w:val="008F1F12"/>
    <w:rsid w:val="008F2550"/>
    <w:rsid w:val="008F2E54"/>
    <w:rsid w:val="008F43E5"/>
    <w:rsid w:val="008F5A3B"/>
    <w:rsid w:val="008F6975"/>
    <w:rsid w:val="008F72C4"/>
    <w:rsid w:val="00900A5F"/>
    <w:rsid w:val="00902108"/>
    <w:rsid w:val="00902865"/>
    <w:rsid w:val="009030D3"/>
    <w:rsid w:val="00906DD1"/>
    <w:rsid w:val="009171F5"/>
    <w:rsid w:val="00917BA0"/>
    <w:rsid w:val="00917D94"/>
    <w:rsid w:val="00920E58"/>
    <w:rsid w:val="00921057"/>
    <w:rsid w:val="00921E42"/>
    <w:rsid w:val="009221E2"/>
    <w:rsid w:val="00924122"/>
    <w:rsid w:val="009241E0"/>
    <w:rsid w:val="00927D6F"/>
    <w:rsid w:val="00930CCE"/>
    <w:rsid w:val="00931A17"/>
    <w:rsid w:val="009353AC"/>
    <w:rsid w:val="009360C0"/>
    <w:rsid w:val="0093653B"/>
    <w:rsid w:val="00936FF7"/>
    <w:rsid w:val="00937550"/>
    <w:rsid w:val="0094028A"/>
    <w:rsid w:val="0094183B"/>
    <w:rsid w:val="00947084"/>
    <w:rsid w:val="00947FBD"/>
    <w:rsid w:val="00955403"/>
    <w:rsid w:val="00957526"/>
    <w:rsid w:val="00957C85"/>
    <w:rsid w:val="00957D24"/>
    <w:rsid w:val="009630B4"/>
    <w:rsid w:val="00963735"/>
    <w:rsid w:val="009650B3"/>
    <w:rsid w:val="00965964"/>
    <w:rsid w:val="0097162D"/>
    <w:rsid w:val="009721C4"/>
    <w:rsid w:val="009722DB"/>
    <w:rsid w:val="0097272E"/>
    <w:rsid w:val="00973B94"/>
    <w:rsid w:val="00976F80"/>
    <w:rsid w:val="009805F2"/>
    <w:rsid w:val="00984C33"/>
    <w:rsid w:val="00986052"/>
    <w:rsid w:val="00987C74"/>
    <w:rsid w:val="00991B11"/>
    <w:rsid w:val="00994D71"/>
    <w:rsid w:val="00996C28"/>
    <w:rsid w:val="00996FA7"/>
    <w:rsid w:val="009A2DA3"/>
    <w:rsid w:val="009A37EB"/>
    <w:rsid w:val="009A3ADF"/>
    <w:rsid w:val="009A662A"/>
    <w:rsid w:val="009A6C03"/>
    <w:rsid w:val="009A7F2E"/>
    <w:rsid w:val="009B0C1D"/>
    <w:rsid w:val="009B2E68"/>
    <w:rsid w:val="009C1A22"/>
    <w:rsid w:val="009C2C3C"/>
    <w:rsid w:val="009C60D3"/>
    <w:rsid w:val="009C6AFA"/>
    <w:rsid w:val="009C7037"/>
    <w:rsid w:val="009C7943"/>
    <w:rsid w:val="009D1A5C"/>
    <w:rsid w:val="009D2EAC"/>
    <w:rsid w:val="009D4F4F"/>
    <w:rsid w:val="009D6E1C"/>
    <w:rsid w:val="009D7945"/>
    <w:rsid w:val="009E30A5"/>
    <w:rsid w:val="009E3CEE"/>
    <w:rsid w:val="009E3EAC"/>
    <w:rsid w:val="009E3F63"/>
    <w:rsid w:val="009E4342"/>
    <w:rsid w:val="009F03B6"/>
    <w:rsid w:val="009F0432"/>
    <w:rsid w:val="009F2842"/>
    <w:rsid w:val="009F2CAA"/>
    <w:rsid w:val="009F691A"/>
    <w:rsid w:val="00A004B0"/>
    <w:rsid w:val="00A04E54"/>
    <w:rsid w:val="00A061EB"/>
    <w:rsid w:val="00A0698F"/>
    <w:rsid w:val="00A12E53"/>
    <w:rsid w:val="00A13DFC"/>
    <w:rsid w:val="00A16B16"/>
    <w:rsid w:val="00A23E03"/>
    <w:rsid w:val="00A25176"/>
    <w:rsid w:val="00A269CF"/>
    <w:rsid w:val="00A364A1"/>
    <w:rsid w:val="00A36649"/>
    <w:rsid w:val="00A36D32"/>
    <w:rsid w:val="00A36E5F"/>
    <w:rsid w:val="00A401BC"/>
    <w:rsid w:val="00A40F25"/>
    <w:rsid w:val="00A423A7"/>
    <w:rsid w:val="00A44F7D"/>
    <w:rsid w:val="00A60FC8"/>
    <w:rsid w:val="00A61A79"/>
    <w:rsid w:val="00A63606"/>
    <w:rsid w:val="00A64D76"/>
    <w:rsid w:val="00A650B3"/>
    <w:rsid w:val="00A65B9D"/>
    <w:rsid w:val="00A66062"/>
    <w:rsid w:val="00A66317"/>
    <w:rsid w:val="00A66E9E"/>
    <w:rsid w:val="00A710F1"/>
    <w:rsid w:val="00A71D3F"/>
    <w:rsid w:val="00A71FF1"/>
    <w:rsid w:val="00A7213D"/>
    <w:rsid w:val="00A76386"/>
    <w:rsid w:val="00A7781C"/>
    <w:rsid w:val="00A84F3D"/>
    <w:rsid w:val="00A86DA7"/>
    <w:rsid w:val="00A91DC0"/>
    <w:rsid w:val="00A91E49"/>
    <w:rsid w:val="00A9205A"/>
    <w:rsid w:val="00AA0FE4"/>
    <w:rsid w:val="00AA10CE"/>
    <w:rsid w:val="00AA2A57"/>
    <w:rsid w:val="00AA5738"/>
    <w:rsid w:val="00AA6191"/>
    <w:rsid w:val="00AA65EF"/>
    <w:rsid w:val="00AB0FBF"/>
    <w:rsid w:val="00AB5A9E"/>
    <w:rsid w:val="00AC0C82"/>
    <w:rsid w:val="00AC18D7"/>
    <w:rsid w:val="00AC2611"/>
    <w:rsid w:val="00AC2E6A"/>
    <w:rsid w:val="00AC3E12"/>
    <w:rsid w:val="00AD05A6"/>
    <w:rsid w:val="00AD436F"/>
    <w:rsid w:val="00AE0F77"/>
    <w:rsid w:val="00AE1EFF"/>
    <w:rsid w:val="00AE2657"/>
    <w:rsid w:val="00AE4C5E"/>
    <w:rsid w:val="00AE52B8"/>
    <w:rsid w:val="00AE7BCB"/>
    <w:rsid w:val="00AE7C72"/>
    <w:rsid w:val="00AF0726"/>
    <w:rsid w:val="00AF24B2"/>
    <w:rsid w:val="00AF529C"/>
    <w:rsid w:val="00AF5345"/>
    <w:rsid w:val="00AF5B03"/>
    <w:rsid w:val="00AF5EB2"/>
    <w:rsid w:val="00AF60B7"/>
    <w:rsid w:val="00B01528"/>
    <w:rsid w:val="00B03791"/>
    <w:rsid w:val="00B047F1"/>
    <w:rsid w:val="00B051CC"/>
    <w:rsid w:val="00B17FF8"/>
    <w:rsid w:val="00B20DA5"/>
    <w:rsid w:val="00B22D3D"/>
    <w:rsid w:val="00B235F7"/>
    <w:rsid w:val="00B242B8"/>
    <w:rsid w:val="00B24831"/>
    <w:rsid w:val="00B254D8"/>
    <w:rsid w:val="00B265A5"/>
    <w:rsid w:val="00B30840"/>
    <w:rsid w:val="00B30A72"/>
    <w:rsid w:val="00B30CF7"/>
    <w:rsid w:val="00B30F3E"/>
    <w:rsid w:val="00B3280B"/>
    <w:rsid w:val="00B34570"/>
    <w:rsid w:val="00B365C9"/>
    <w:rsid w:val="00B43BAA"/>
    <w:rsid w:val="00B46F5D"/>
    <w:rsid w:val="00B510D1"/>
    <w:rsid w:val="00B516F4"/>
    <w:rsid w:val="00B53695"/>
    <w:rsid w:val="00B56122"/>
    <w:rsid w:val="00B6021A"/>
    <w:rsid w:val="00B61CD8"/>
    <w:rsid w:val="00B61DDE"/>
    <w:rsid w:val="00B63F07"/>
    <w:rsid w:val="00B64FD7"/>
    <w:rsid w:val="00B65FD9"/>
    <w:rsid w:val="00B6634F"/>
    <w:rsid w:val="00B67FDC"/>
    <w:rsid w:val="00B708CF"/>
    <w:rsid w:val="00B71697"/>
    <w:rsid w:val="00B71781"/>
    <w:rsid w:val="00B7222E"/>
    <w:rsid w:val="00B7336C"/>
    <w:rsid w:val="00B7548C"/>
    <w:rsid w:val="00B76C6A"/>
    <w:rsid w:val="00B77794"/>
    <w:rsid w:val="00B80677"/>
    <w:rsid w:val="00B82437"/>
    <w:rsid w:val="00B829A8"/>
    <w:rsid w:val="00B829B3"/>
    <w:rsid w:val="00B83749"/>
    <w:rsid w:val="00B860F7"/>
    <w:rsid w:val="00B86579"/>
    <w:rsid w:val="00B87617"/>
    <w:rsid w:val="00B912EC"/>
    <w:rsid w:val="00B9203C"/>
    <w:rsid w:val="00B92684"/>
    <w:rsid w:val="00B93167"/>
    <w:rsid w:val="00B95065"/>
    <w:rsid w:val="00B96704"/>
    <w:rsid w:val="00B96E93"/>
    <w:rsid w:val="00B971AE"/>
    <w:rsid w:val="00B97AE8"/>
    <w:rsid w:val="00BA2289"/>
    <w:rsid w:val="00BA3745"/>
    <w:rsid w:val="00BB01C4"/>
    <w:rsid w:val="00BB1DDF"/>
    <w:rsid w:val="00BB1F05"/>
    <w:rsid w:val="00BB4665"/>
    <w:rsid w:val="00BB4A4E"/>
    <w:rsid w:val="00BC1CC8"/>
    <w:rsid w:val="00BC2D7C"/>
    <w:rsid w:val="00BC6124"/>
    <w:rsid w:val="00BC76D0"/>
    <w:rsid w:val="00BD3529"/>
    <w:rsid w:val="00BE134F"/>
    <w:rsid w:val="00BE3538"/>
    <w:rsid w:val="00BE4EA8"/>
    <w:rsid w:val="00BE56ED"/>
    <w:rsid w:val="00BE67E4"/>
    <w:rsid w:val="00BE77A5"/>
    <w:rsid w:val="00BF158F"/>
    <w:rsid w:val="00BF1A98"/>
    <w:rsid w:val="00BF2576"/>
    <w:rsid w:val="00BF5106"/>
    <w:rsid w:val="00BF583E"/>
    <w:rsid w:val="00BF5D19"/>
    <w:rsid w:val="00BF5DF9"/>
    <w:rsid w:val="00C0043D"/>
    <w:rsid w:val="00C032E9"/>
    <w:rsid w:val="00C03950"/>
    <w:rsid w:val="00C04E50"/>
    <w:rsid w:val="00C053AA"/>
    <w:rsid w:val="00C05572"/>
    <w:rsid w:val="00C10CA2"/>
    <w:rsid w:val="00C1154C"/>
    <w:rsid w:val="00C11CA8"/>
    <w:rsid w:val="00C17B97"/>
    <w:rsid w:val="00C20338"/>
    <w:rsid w:val="00C2114D"/>
    <w:rsid w:val="00C24B34"/>
    <w:rsid w:val="00C276B1"/>
    <w:rsid w:val="00C343BD"/>
    <w:rsid w:val="00C3561A"/>
    <w:rsid w:val="00C36730"/>
    <w:rsid w:val="00C374D4"/>
    <w:rsid w:val="00C4141D"/>
    <w:rsid w:val="00C45AAA"/>
    <w:rsid w:val="00C46721"/>
    <w:rsid w:val="00C46EC8"/>
    <w:rsid w:val="00C52FF7"/>
    <w:rsid w:val="00C536FD"/>
    <w:rsid w:val="00C546FF"/>
    <w:rsid w:val="00C54B84"/>
    <w:rsid w:val="00C54C86"/>
    <w:rsid w:val="00C56178"/>
    <w:rsid w:val="00C56687"/>
    <w:rsid w:val="00C56F97"/>
    <w:rsid w:val="00C577A9"/>
    <w:rsid w:val="00C674B4"/>
    <w:rsid w:val="00C717FC"/>
    <w:rsid w:val="00C72455"/>
    <w:rsid w:val="00C74392"/>
    <w:rsid w:val="00C74422"/>
    <w:rsid w:val="00C75948"/>
    <w:rsid w:val="00C76D3F"/>
    <w:rsid w:val="00C8337E"/>
    <w:rsid w:val="00C83CDE"/>
    <w:rsid w:val="00C85EEF"/>
    <w:rsid w:val="00C8624C"/>
    <w:rsid w:val="00C92B2B"/>
    <w:rsid w:val="00C93F32"/>
    <w:rsid w:val="00C94775"/>
    <w:rsid w:val="00C947A9"/>
    <w:rsid w:val="00C94D3F"/>
    <w:rsid w:val="00C95D73"/>
    <w:rsid w:val="00C96A92"/>
    <w:rsid w:val="00C97A89"/>
    <w:rsid w:val="00CA492E"/>
    <w:rsid w:val="00CA4C09"/>
    <w:rsid w:val="00CA4FA9"/>
    <w:rsid w:val="00CA6DEF"/>
    <w:rsid w:val="00CA74CA"/>
    <w:rsid w:val="00CB09A1"/>
    <w:rsid w:val="00CB146D"/>
    <w:rsid w:val="00CB3F35"/>
    <w:rsid w:val="00CB4D1B"/>
    <w:rsid w:val="00CB79A7"/>
    <w:rsid w:val="00CC1780"/>
    <w:rsid w:val="00CC4A07"/>
    <w:rsid w:val="00CC4E9E"/>
    <w:rsid w:val="00CC4F1D"/>
    <w:rsid w:val="00CC6E1E"/>
    <w:rsid w:val="00CC7338"/>
    <w:rsid w:val="00CC7BDF"/>
    <w:rsid w:val="00CD2317"/>
    <w:rsid w:val="00CD4895"/>
    <w:rsid w:val="00CD671E"/>
    <w:rsid w:val="00CD683F"/>
    <w:rsid w:val="00CD6B90"/>
    <w:rsid w:val="00CD6DFA"/>
    <w:rsid w:val="00CD7ACC"/>
    <w:rsid w:val="00CE1E5E"/>
    <w:rsid w:val="00CE202C"/>
    <w:rsid w:val="00CE5CEA"/>
    <w:rsid w:val="00CE688C"/>
    <w:rsid w:val="00CE6911"/>
    <w:rsid w:val="00CE71E5"/>
    <w:rsid w:val="00CF1C62"/>
    <w:rsid w:val="00CF540D"/>
    <w:rsid w:val="00CF6E6C"/>
    <w:rsid w:val="00CF77DC"/>
    <w:rsid w:val="00CF7D0F"/>
    <w:rsid w:val="00D0086F"/>
    <w:rsid w:val="00D01B22"/>
    <w:rsid w:val="00D02682"/>
    <w:rsid w:val="00D03E15"/>
    <w:rsid w:val="00D04C48"/>
    <w:rsid w:val="00D05C60"/>
    <w:rsid w:val="00D06F63"/>
    <w:rsid w:val="00D07DF0"/>
    <w:rsid w:val="00D13147"/>
    <w:rsid w:val="00D14818"/>
    <w:rsid w:val="00D15111"/>
    <w:rsid w:val="00D167ED"/>
    <w:rsid w:val="00D20341"/>
    <w:rsid w:val="00D21751"/>
    <w:rsid w:val="00D21F6E"/>
    <w:rsid w:val="00D22CFE"/>
    <w:rsid w:val="00D23A72"/>
    <w:rsid w:val="00D23AB2"/>
    <w:rsid w:val="00D258D8"/>
    <w:rsid w:val="00D26331"/>
    <w:rsid w:val="00D2652D"/>
    <w:rsid w:val="00D27104"/>
    <w:rsid w:val="00D301D2"/>
    <w:rsid w:val="00D30CEF"/>
    <w:rsid w:val="00D31C1B"/>
    <w:rsid w:val="00D33A1A"/>
    <w:rsid w:val="00D353A8"/>
    <w:rsid w:val="00D40E17"/>
    <w:rsid w:val="00D42242"/>
    <w:rsid w:val="00D45208"/>
    <w:rsid w:val="00D45568"/>
    <w:rsid w:val="00D51C6E"/>
    <w:rsid w:val="00D51D87"/>
    <w:rsid w:val="00D53CE2"/>
    <w:rsid w:val="00D543F3"/>
    <w:rsid w:val="00D609E5"/>
    <w:rsid w:val="00D636FC"/>
    <w:rsid w:val="00D651BC"/>
    <w:rsid w:val="00D66971"/>
    <w:rsid w:val="00D708B7"/>
    <w:rsid w:val="00D755A7"/>
    <w:rsid w:val="00D77B37"/>
    <w:rsid w:val="00D80173"/>
    <w:rsid w:val="00D81D4D"/>
    <w:rsid w:val="00D823A9"/>
    <w:rsid w:val="00D83FB6"/>
    <w:rsid w:val="00D90217"/>
    <w:rsid w:val="00D91F7D"/>
    <w:rsid w:val="00D95224"/>
    <w:rsid w:val="00D95989"/>
    <w:rsid w:val="00D96184"/>
    <w:rsid w:val="00D96C89"/>
    <w:rsid w:val="00D97320"/>
    <w:rsid w:val="00DA52E8"/>
    <w:rsid w:val="00DA6836"/>
    <w:rsid w:val="00DC2A0C"/>
    <w:rsid w:val="00DC54A4"/>
    <w:rsid w:val="00DD2C65"/>
    <w:rsid w:val="00DD491D"/>
    <w:rsid w:val="00DD593A"/>
    <w:rsid w:val="00DD7BB6"/>
    <w:rsid w:val="00DE1FE9"/>
    <w:rsid w:val="00DE5012"/>
    <w:rsid w:val="00DE591C"/>
    <w:rsid w:val="00DE68E0"/>
    <w:rsid w:val="00DE6AEA"/>
    <w:rsid w:val="00DF20F8"/>
    <w:rsid w:val="00DF274C"/>
    <w:rsid w:val="00DF2811"/>
    <w:rsid w:val="00DF3C21"/>
    <w:rsid w:val="00DF6487"/>
    <w:rsid w:val="00E00E5A"/>
    <w:rsid w:val="00E0144B"/>
    <w:rsid w:val="00E0203D"/>
    <w:rsid w:val="00E03F63"/>
    <w:rsid w:val="00E04BEC"/>
    <w:rsid w:val="00E06001"/>
    <w:rsid w:val="00E102BB"/>
    <w:rsid w:val="00E118ED"/>
    <w:rsid w:val="00E126E0"/>
    <w:rsid w:val="00E13656"/>
    <w:rsid w:val="00E1655E"/>
    <w:rsid w:val="00E17D68"/>
    <w:rsid w:val="00E21DED"/>
    <w:rsid w:val="00E22F11"/>
    <w:rsid w:val="00E25FA6"/>
    <w:rsid w:val="00E263F2"/>
    <w:rsid w:val="00E27E4C"/>
    <w:rsid w:val="00E301EE"/>
    <w:rsid w:val="00E30818"/>
    <w:rsid w:val="00E34AAD"/>
    <w:rsid w:val="00E36BE2"/>
    <w:rsid w:val="00E3755B"/>
    <w:rsid w:val="00E37CC9"/>
    <w:rsid w:val="00E42270"/>
    <w:rsid w:val="00E43930"/>
    <w:rsid w:val="00E44E3C"/>
    <w:rsid w:val="00E45CD7"/>
    <w:rsid w:val="00E46DBD"/>
    <w:rsid w:val="00E4759B"/>
    <w:rsid w:val="00E50B8E"/>
    <w:rsid w:val="00E52BE0"/>
    <w:rsid w:val="00E544CF"/>
    <w:rsid w:val="00E5485A"/>
    <w:rsid w:val="00E562B4"/>
    <w:rsid w:val="00E568E1"/>
    <w:rsid w:val="00E574FC"/>
    <w:rsid w:val="00E60629"/>
    <w:rsid w:val="00E60695"/>
    <w:rsid w:val="00E61043"/>
    <w:rsid w:val="00E61CF3"/>
    <w:rsid w:val="00E61E4D"/>
    <w:rsid w:val="00E63E75"/>
    <w:rsid w:val="00E6515F"/>
    <w:rsid w:val="00E65AAE"/>
    <w:rsid w:val="00E65BF2"/>
    <w:rsid w:val="00E672C7"/>
    <w:rsid w:val="00E73406"/>
    <w:rsid w:val="00E75B91"/>
    <w:rsid w:val="00E7625C"/>
    <w:rsid w:val="00E76BC5"/>
    <w:rsid w:val="00E7781F"/>
    <w:rsid w:val="00E824FD"/>
    <w:rsid w:val="00E83879"/>
    <w:rsid w:val="00E8596C"/>
    <w:rsid w:val="00E865C0"/>
    <w:rsid w:val="00E900AF"/>
    <w:rsid w:val="00E91CC1"/>
    <w:rsid w:val="00E94FC2"/>
    <w:rsid w:val="00E95C92"/>
    <w:rsid w:val="00E97CC8"/>
    <w:rsid w:val="00EA3C71"/>
    <w:rsid w:val="00EA5DD7"/>
    <w:rsid w:val="00EB0134"/>
    <w:rsid w:val="00EB116F"/>
    <w:rsid w:val="00EB14C9"/>
    <w:rsid w:val="00EB1CAB"/>
    <w:rsid w:val="00EB1D29"/>
    <w:rsid w:val="00EB20D1"/>
    <w:rsid w:val="00EB2C5F"/>
    <w:rsid w:val="00EB2CB1"/>
    <w:rsid w:val="00EB33E2"/>
    <w:rsid w:val="00EB5AFB"/>
    <w:rsid w:val="00EB7589"/>
    <w:rsid w:val="00EC1E91"/>
    <w:rsid w:val="00EC3A18"/>
    <w:rsid w:val="00EC5217"/>
    <w:rsid w:val="00EC55CB"/>
    <w:rsid w:val="00EC5C09"/>
    <w:rsid w:val="00ED073D"/>
    <w:rsid w:val="00ED0CFD"/>
    <w:rsid w:val="00ED0ED7"/>
    <w:rsid w:val="00ED26C2"/>
    <w:rsid w:val="00EE622A"/>
    <w:rsid w:val="00EE6DB9"/>
    <w:rsid w:val="00EF21E1"/>
    <w:rsid w:val="00EF462D"/>
    <w:rsid w:val="00EF4908"/>
    <w:rsid w:val="00EF5B96"/>
    <w:rsid w:val="00EF67C4"/>
    <w:rsid w:val="00F00618"/>
    <w:rsid w:val="00F01ED5"/>
    <w:rsid w:val="00F06C54"/>
    <w:rsid w:val="00F1028E"/>
    <w:rsid w:val="00F11576"/>
    <w:rsid w:val="00F115AA"/>
    <w:rsid w:val="00F117D2"/>
    <w:rsid w:val="00F12BB1"/>
    <w:rsid w:val="00F12BCE"/>
    <w:rsid w:val="00F16B41"/>
    <w:rsid w:val="00F17700"/>
    <w:rsid w:val="00F214DB"/>
    <w:rsid w:val="00F22502"/>
    <w:rsid w:val="00F2429D"/>
    <w:rsid w:val="00F24571"/>
    <w:rsid w:val="00F245C8"/>
    <w:rsid w:val="00F275D7"/>
    <w:rsid w:val="00F320EE"/>
    <w:rsid w:val="00F33B5B"/>
    <w:rsid w:val="00F36DEA"/>
    <w:rsid w:val="00F400FA"/>
    <w:rsid w:val="00F4050E"/>
    <w:rsid w:val="00F4071A"/>
    <w:rsid w:val="00F416C6"/>
    <w:rsid w:val="00F4217C"/>
    <w:rsid w:val="00F4406F"/>
    <w:rsid w:val="00F46D61"/>
    <w:rsid w:val="00F5033A"/>
    <w:rsid w:val="00F61E47"/>
    <w:rsid w:val="00F61E7A"/>
    <w:rsid w:val="00F6436F"/>
    <w:rsid w:val="00F6596E"/>
    <w:rsid w:val="00F6679F"/>
    <w:rsid w:val="00F67CAA"/>
    <w:rsid w:val="00F71E30"/>
    <w:rsid w:val="00F72F47"/>
    <w:rsid w:val="00F82796"/>
    <w:rsid w:val="00F83A61"/>
    <w:rsid w:val="00F86243"/>
    <w:rsid w:val="00F87942"/>
    <w:rsid w:val="00F9162E"/>
    <w:rsid w:val="00F948AD"/>
    <w:rsid w:val="00F97E31"/>
    <w:rsid w:val="00FA028D"/>
    <w:rsid w:val="00FA1696"/>
    <w:rsid w:val="00FA1D06"/>
    <w:rsid w:val="00FA4086"/>
    <w:rsid w:val="00FA68F1"/>
    <w:rsid w:val="00FA6B98"/>
    <w:rsid w:val="00FA6CD2"/>
    <w:rsid w:val="00FB028A"/>
    <w:rsid w:val="00FB3E48"/>
    <w:rsid w:val="00FB41F7"/>
    <w:rsid w:val="00FB4811"/>
    <w:rsid w:val="00FB5FD1"/>
    <w:rsid w:val="00FC01D2"/>
    <w:rsid w:val="00FC094C"/>
    <w:rsid w:val="00FC183E"/>
    <w:rsid w:val="00FC3BAE"/>
    <w:rsid w:val="00FC4E8E"/>
    <w:rsid w:val="00FC6102"/>
    <w:rsid w:val="00FC7166"/>
    <w:rsid w:val="00FD06B6"/>
    <w:rsid w:val="00FD1399"/>
    <w:rsid w:val="00FD146A"/>
    <w:rsid w:val="00FD1DDA"/>
    <w:rsid w:val="00FD47E8"/>
    <w:rsid w:val="00FD4B4C"/>
    <w:rsid w:val="00FD710E"/>
    <w:rsid w:val="00FE09E6"/>
    <w:rsid w:val="00FE277E"/>
    <w:rsid w:val="00FE38BE"/>
    <w:rsid w:val="00FE5B99"/>
    <w:rsid w:val="00FE63F6"/>
    <w:rsid w:val="00FE7C89"/>
    <w:rsid w:val="00FF4296"/>
    <w:rsid w:val="00FF4DD0"/>
    <w:rsid w:val="00FF59C8"/>
    <w:rsid w:val="00FF67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8DE70"/>
  <w15:docId w15:val="{4A3CC0E2-9F24-4E86-8F54-3B32DE72A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2312"/>
    <w:pPr>
      <w:spacing w:after="0" w:line="240" w:lineRule="auto"/>
      <w:ind w:left="720"/>
      <w:contextualSpacing/>
    </w:pPr>
    <w:rPr>
      <w:rFonts w:ascii="Calibri" w:hAnsi="Calibri" w:cs="Calibri"/>
      <w:lang w:eastAsia="it-IT"/>
    </w:rPr>
  </w:style>
  <w:style w:type="character" w:styleId="Rimandocommento">
    <w:name w:val="annotation reference"/>
    <w:basedOn w:val="Carpredefinitoparagrafo"/>
    <w:uiPriority w:val="99"/>
    <w:semiHidden/>
    <w:unhideWhenUsed/>
    <w:rsid w:val="00B97AE8"/>
    <w:rPr>
      <w:sz w:val="16"/>
      <w:szCs w:val="16"/>
    </w:rPr>
  </w:style>
  <w:style w:type="paragraph" w:styleId="Testocommento">
    <w:name w:val="annotation text"/>
    <w:basedOn w:val="Normale"/>
    <w:link w:val="TestocommentoCarattere"/>
    <w:uiPriority w:val="99"/>
    <w:semiHidden/>
    <w:unhideWhenUsed/>
    <w:rsid w:val="00B97AE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7AE8"/>
    <w:rPr>
      <w:sz w:val="20"/>
      <w:szCs w:val="20"/>
    </w:rPr>
  </w:style>
  <w:style w:type="paragraph" w:styleId="Soggettocommento">
    <w:name w:val="annotation subject"/>
    <w:basedOn w:val="Testocommento"/>
    <w:next w:val="Testocommento"/>
    <w:link w:val="SoggettocommentoCarattere"/>
    <w:uiPriority w:val="99"/>
    <w:semiHidden/>
    <w:unhideWhenUsed/>
    <w:rsid w:val="00B97AE8"/>
    <w:rPr>
      <w:b/>
      <w:bCs/>
    </w:rPr>
  </w:style>
  <w:style w:type="character" w:customStyle="1" w:styleId="SoggettocommentoCarattere">
    <w:name w:val="Soggetto commento Carattere"/>
    <w:basedOn w:val="TestocommentoCarattere"/>
    <w:link w:val="Soggettocommento"/>
    <w:uiPriority w:val="99"/>
    <w:semiHidden/>
    <w:rsid w:val="00B97AE8"/>
    <w:rPr>
      <w:b/>
      <w:bCs/>
      <w:sz w:val="20"/>
      <w:szCs w:val="20"/>
    </w:rPr>
  </w:style>
  <w:style w:type="paragraph" w:styleId="Testofumetto">
    <w:name w:val="Balloon Text"/>
    <w:basedOn w:val="Normale"/>
    <w:link w:val="TestofumettoCarattere"/>
    <w:uiPriority w:val="99"/>
    <w:semiHidden/>
    <w:unhideWhenUsed/>
    <w:rsid w:val="00B97A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AE8"/>
    <w:rPr>
      <w:rFonts w:ascii="Tahoma" w:hAnsi="Tahoma" w:cs="Tahoma"/>
      <w:sz w:val="16"/>
      <w:szCs w:val="16"/>
    </w:rPr>
  </w:style>
  <w:style w:type="paragraph" w:styleId="Revisione">
    <w:name w:val="Revision"/>
    <w:hidden/>
    <w:uiPriority w:val="99"/>
    <w:semiHidden/>
    <w:rsid w:val="00501793"/>
    <w:pPr>
      <w:spacing w:after="0" w:line="240" w:lineRule="auto"/>
    </w:pPr>
  </w:style>
  <w:style w:type="character" w:styleId="Collegamentoipertestuale">
    <w:name w:val="Hyperlink"/>
    <w:basedOn w:val="Carpredefinitoparagrafo"/>
    <w:uiPriority w:val="99"/>
    <w:unhideWhenUsed/>
    <w:rsid w:val="00E544CF"/>
    <w:rPr>
      <w:color w:val="0000FF" w:themeColor="hyperlink"/>
      <w:u w:val="single"/>
    </w:rPr>
  </w:style>
  <w:style w:type="paragraph" w:customStyle="1" w:styleId="Paragrafobase">
    <w:name w:val="[Paragrafo base]"/>
    <w:basedOn w:val="Normale"/>
    <w:uiPriority w:val="99"/>
    <w:rsid w:val="001C51E2"/>
    <w:pPr>
      <w:autoSpaceDE w:val="0"/>
      <w:autoSpaceDN w:val="0"/>
      <w:adjustRightInd w:val="0"/>
      <w:spacing w:after="0" w:line="240" w:lineRule="atLeast"/>
      <w:textAlignment w:val="center"/>
    </w:pPr>
    <w:rPr>
      <w:rFonts w:ascii="Calibri" w:hAnsi="Calibri" w:cs="Calibri"/>
      <w:color w:val="000000"/>
      <w:sz w:val="20"/>
      <w:szCs w:val="20"/>
    </w:rPr>
  </w:style>
  <w:style w:type="character" w:styleId="Enfasicorsivo">
    <w:name w:val="Emphasis"/>
    <w:basedOn w:val="Carpredefinitoparagrafo"/>
    <w:uiPriority w:val="20"/>
    <w:qFormat/>
    <w:rsid w:val="006805A5"/>
    <w:rPr>
      <w:i/>
      <w:iCs/>
    </w:rPr>
  </w:style>
  <w:style w:type="table" w:styleId="Grigliatabella">
    <w:name w:val="Table Grid"/>
    <w:basedOn w:val="Tabellanormale"/>
    <w:rsid w:val="00620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rsid w:val="0083539A"/>
    <w:pPr>
      <w:spacing w:after="0" w:line="360" w:lineRule="auto"/>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4303BA"/>
    <w:rPr>
      <w:color w:val="800080" w:themeColor="followedHyperlink"/>
      <w:u w:val="single"/>
    </w:rPr>
  </w:style>
  <w:style w:type="character" w:styleId="Rimandonotaapidipagina">
    <w:name w:val="footnote reference"/>
    <w:uiPriority w:val="99"/>
    <w:semiHidden/>
    <w:rsid w:val="008F43E5"/>
    <w:rPr>
      <w:vertAlign w:val="superscript"/>
    </w:rPr>
  </w:style>
  <w:style w:type="paragraph" w:styleId="Testonotaapidipagina">
    <w:name w:val="footnote text"/>
    <w:basedOn w:val="Normale"/>
    <w:link w:val="TestonotaapidipaginaCarattere"/>
    <w:uiPriority w:val="99"/>
    <w:rsid w:val="008F43E5"/>
    <w:rPr>
      <w:rFonts w:eastAsiaTheme="minorEastAsia"/>
      <w:lang w:val="en-US" w:eastAsia="zh-CN"/>
    </w:rPr>
  </w:style>
  <w:style w:type="character" w:customStyle="1" w:styleId="TestonotaapidipaginaCarattere">
    <w:name w:val="Testo nota a piè di pagina Carattere"/>
    <w:basedOn w:val="Carpredefinitoparagrafo"/>
    <w:link w:val="Testonotaapidipagina"/>
    <w:uiPriority w:val="99"/>
    <w:rsid w:val="008F43E5"/>
    <w:rPr>
      <w:rFonts w:eastAsiaTheme="minorEastAsia"/>
      <w:lang w:val="en-US" w:eastAsia="zh-CN"/>
    </w:rPr>
  </w:style>
  <w:style w:type="paragraph" w:styleId="Testonormale">
    <w:name w:val="Plain Text"/>
    <w:basedOn w:val="Normale"/>
    <w:link w:val="TestonormaleCarattere"/>
    <w:uiPriority w:val="99"/>
    <w:unhideWhenUsed/>
    <w:rsid w:val="00151D12"/>
    <w:pPr>
      <w:spacing w:after="0" w:line="240" w:lineRule="auto"/>
    </w:pPr>
    <w:rPr>
      <w:rFonts w:ascii="Calibri" w:hAnsi="Calibri"/>
      <w:color w:val="1F497D" w:themeColor="text2"/>
      <w:szCs w:val="21"/>
    </w:rPr>
  </w:style>
  <w:style w:type="character" w:customStyle="1" w:styleId="TestonormaleCarattere">
    <w:name w:val="Testo normale Carattere"/>
    <w:basedOn w:val="Carpredefinitoparagrafo"/>
    <w:link w:val="Testonormale"/>
    <w:uiPriority w:val="99"/>
    <w:rsid w:val="00151D12"/>
    <w:rPr>
      <w:rFonts w:ascii="Calibri" w:hAnsi="Calibri"/>
      <w:color w:val="1F497D" w:themeColor="text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924277">
      <w:bodyDiv w:val="1"/>
      <w:marLeft w:val="0"/>
      <w:marRight w:val="0"/>
      <w:marTop w:val="0"/>
      <w:marBottom w:val="0"/>
      <w:divBdr>
        <w:top w:val="none" w:sz="0" w:space="0" w:color="auto"/>
        <w:left w:val="none" w:sz="0" w:space="0" w:color="auto"/>
        <w:bottom w:val="none" w:sz="0" w:space="0" w:color="auto"/>
        <w:right w:val="none" w:sz="0" w:space="0" w:color="auto"/>
      </w:divBdr>
    </w:div>
    <w:div w:id="886139636">
      <w:bodyDiv w:val="1"/>
      <w:marLeft w:val="0"/>
      <w:marRight w:val="0"/>
      <w:marTop w:val="0"/>
      <w:marBottom w:val="0"/>
      <w:divBdr>
        <w:top w:val="none" w:sz="0" w:space="0" w:color="auto"/>
        <w:left w:val="none" w:sz="0" w:space="0" w:color="auto"/>
        <w:bottom w:val="none" w:sz="0" w:space="0" w:color="auto"/>
        <w:right w:val="none" w:sz="0" w:space="0" w:color="auto"/>
      </w:divBdr>
    </w:div>
    <w:div w:id="1137601618">
      <w:bodyDiv w:val="1"/>
      <w:marLeft w:val="0"/>
      <w:marRight w:val="0"/>
      <w:marTop w:val="0"/>
      <w:marBottom w:val="0"/>
      <w:divBdr>
        <w:top w:val="none" w:sz="0" w:space="0" w:color="auto"/>
        <w:left w:val="none" w:sz="0" w:space="0" w:color="auto"/>
        <w:bottom w:val="none" w:sz="0" w:space="0" w:color="auto"/>
        <w:right w:val="none" w:sz="0" w:space="0" w:color="auto"/>
      </w:divBdr>
      <w:divsChild>
        <w:div w:id="349063361">
          <w:marLeft w:val="0"/>
          <w:marRight w:val="0"/>
          <w:marTop w:val="0"/>
          <w:marBottom w:val="0"/>
          <w:divBdr>
            <w:top w:val="none" w:sz="0" w:space="0" w:color="auto"/>
            <w:left w:val="none" w:sz="0" w:space="0" w:color="auto"/>
            <w:bottom w:val="none" w:sz="0" w:space="0" w:color="auto"/>
            <w:right w:val="none" w:sz="0" w:space="0" w:color="auto"/>
          </w:divBdr>
          <w:divsChild>
            <w:div w:id="1614824016">
              <w:marLeft w:val="0"/>
              <w:marRight w:val="0"/>
              <w:marTop w:val="0"/>
              <w:marBottom w:val="0"/>
              <w:divBdr>
                <w:top w:val="none" w:sz="0" w:space="0" w:color="auto"/>
                <w:left w:val="none" w:sz="0" w:space="0" w:color="auto"/>
                <w:bottom w:val="none" w:sz="0" w:space="0" w:color="auto"/>
                <w:right w:val="none" w:sz="0" w:space="0" w:color="auto"/>
              </w:divBdr>
              <w:divsChild>
                <w:div w:id="1348629791">
                  <w:marLeft w:val="0"/>
                  <w:marRight w:val="0"/>
                  <w:marTop w:val="0"/>
                  <w:marBottom w:val="0"/>
                  <w:divBdr>
                    <w:top w:val="none" w:sz="0" w:space="0" w:color="auto"/>
                    <w:left w:val="none" w:sz="0" w:space="0" w:color="auto"/>
                    <w:bottom w:val="none" w:sz="0" w:space="0" w:color="auto"/>
                    <w:right w:val="none" w:sz="0" w:space="0" w:color="auto"/>
                  </w:divBdr>
                  <w:divsChild>
                    <w:div w:id="833763180">
                      <w:marLeft w:val="0"/>
                      <w:marRight w:val="0"/>
                      <w:marTop w:val="0"/>
                      <w:marBottom w:val="0"/>
                      <w:divBdr>
                        <w:top w:val="none" w:sz="0" w:space="0" w:color="auto"/>
                        <w:left w:val="none" w:sz="0" w:space="0" w:color="auto"/>
                        <w:bottom w:val="none" w:sz="0" w:space="0" w:color="auto"/>
                        <w:right w:val="none" w:sz="0" w:space="0" w:color="auto"/>
                      </w:divBdr>
                      <w:divsChild>
                        <w:div w:id="81920195">
                          <w:marLeft w:val="-15"/>
                          <w:marRight w:val="0"/>
                          <w:marTop w:val="0"/>
                          <w:marBottom w:val="0"/>
                          <w:divBdr>
                            <w:top w:val="none" w:sz="0" w:space="0" w:color="auto"/>
                            <w:left w:val="none" w:sz="0" w:space="0" w:color="auto"/>
                            <w:bottom w:val="none" w:sz="0" w:space="0" w:color="auto"/>
                            <w:right w:val="none" w:sz="0" w:space="0" w:color="auto"/>
                          </w:divBdr>
                          <w:divsChild>
                            <w:div w:id="2004773859">
                              <w:marLeft w:val="0"/>
                              <w:marRight w:val="0"/>
                              <w:marTop w:val="0"/>
                              <w:marBottom w:val="0"/>
                              <w:divBdr>
                                <w:top w:val="none" w:sz="0" w:space="0" w:color="auto"/>
                                <w:left w:val="none" w:sz="0" w:space="0" w:color="auto"/>
                                <w:bottom w:val="none" w:sz="0" w:space="0" w:color="auto"/>
                                <w:right w:val="none" w:sz="0" w:space="0" w:color="auto"/>
                              </w:divBdr>
                              <w:divsChild>
                                <w:div w:id="1649166738">
                                  <w:marLeft w:val="0"/>
                                  <w:marRight w:val="-15"/>
                                  <w:marTop w:val="0"/>
                                  <w:marBottom w:val="0"/>
                                  <w:divBdr>
                                    <w:top w:val="none" w:sz="0" w:space="0" w:color="auto"/>
                                    <w:left w:val="none" w:sz="0" w:space="0" w:color="auto"/>
                                    <w:bottom w:val="none" w:sz="0" w:space="0" w:color="auto"/>
                                    <w:right w:val="none" w:sz="0" w:space="0" w:color="auto"/>
                                  </w:divBdr>
                                  <w:divsChild>
                                    <w:div w:id="2064676348">
                                      <w:marLeft w:val="0"/>
                                      <w:marRight w:val="0"/>
                                      <w:marTop w:val="0"/>
                                      <w:marBottom w:val="0"/>
                                      <w:divBdr>
                                        <w:top w:val="none" w:sz="0" w:space="0" w:color="auto"/>
                                        <w:left w:val="none" w:sz="0" w:space="0" w:color="auto"/>
                                        <w:bottom w:val="none" w:sz="0" w:space="0" w:color="auto"/>
                                        <w:right w:val="none" w:sz="0" w:space="0" w:color="auto"/>
                                      </w:divBdr>
                                      <w:divsChild>
                                        <w:div w:id="1511793286">
                                          <w:marLeft w:val="0"/>
                                          <w:marRight w:val="0"/>
                                          <w:marTop w:val="0"/>
                                          <w:marBottom w:val="0"/>
                                          <w:divBdr>
                                            <w:top w:val="none" w:sz="0" w:space="0" w:color="auto"/>
                                            <w:left w:val="none" w:sz="0" w:space="0" w:color="auto"/>
                                            <w:bottom w:val="none" w:sz="0" w:space="0" w:color="auto"/>
                                            <w:right w:val="none" w:sz="0" w:space="0" w:color="auto"/>
                                          </w:divBdr>
                                          <w:divsChild>
                                            <w:div w:id="869343593">
                                              <w:marLeft w:val="0"/>
                                              <w:marRight w:val="0"/>
                                              <w:marTop w:val="0"/>
                                              <w:marBottom w:val="0"/>
                                              <w:divBdr>
                                                <w:top w:val="none" w:sz="0" w:space="0" w:color="auto"/>
                                                <w:left w:val="none" w:sz="0" w:space="0" w:color="auto"/>
                                                <w:bottom w:val="none" w:sz="0" w:space="0" w:color="auto"/>
                                                <w:right w:val="none" w:sz="0" w:space="0" w:color="auto"/>
                                              </w:divBdr>
                                              <w:divsChild>
                                                <w:div w:id="1723747268">
                                                  <w:marLeft w:val="0"/>
                                                  <w:marRight w:val="0"/>
                                                  <w:marTop w:val="0"/>
                                                  <w:marBottom w:val="0"/>
                                                  <w:divBdr>
                                                    <w:top w:val="none" w:sz="0" w:space="0" w:color="auto"/>
                                                    <w:left w:val="none" w:sz="0" w:space="0" w:color="auto"/>
                                                    <w:bottom w:val="none" w:sz="0" w:space="0" w:color="auto"/>
                                                    <w:right w:val="none" w:sz="0" w:space="0" w:color="auto"/>
                                                  </w:divBdr>
                                                  <w:divsChild>
                                                    <w:div w:id="942802166">
                                                      <w:marLeft w:val="0"/>
                                                      <w:marRight w:val="0"/>
                                                      <w:marTop w:val="0"/>
                                                      <w:marBottom w:val="0"/>
                                                      <w:divBdr>
                                                        <w:top w:val="none" w:sz="0" w:space="0" w:color="auto"/>
                                                        <w:left w:val="none" w:sz="0" w:space="0" w:color="auto"/>
                                                        <w:bottom w:val="none" w:sz="0" w:space="0" w:color="auto"/>
                                                        <w:right w:val="none" w:sz="0" w:space="0" w:color="auto"/>
                                                      </w:divBdr>
                                                      <w:divsChild>
                                                        <w:div w:id="1791433988">
                                                          <w:marLeft w:val="0"/>
                                                          <w:marRight w:val="0"/>
                                                          <w:marTop w:val="0"/>
                                                          <w:marBottom w:val="0"/>
                                                          <w:divBdr>
                                                            <w:top w:val="none" w:sz="0" w:space="0" w:color="auto"/>
                                                            <w:left w:val="none" w:sz="0" w:space="0" w:color="auto"/>
                                                            <w:bottom w:val="none" w:sz="0" w:space="0" w:color="auto"/>
                                                            <w:right w:val="none" w:sz="0" w:space="0" w:color="auto"/>
                                                          </w:divBdr>
                                                          <w:divsChild>
                                                            <w:div w:id="859389749">
                                                              <w:marLeft w:val="0"/>
                                                              <w:marRight w:val="0"/>
                                                              <w:marTop w:val="0"/>
                                                              <w:marBottom w:val="0"/>
                                                              <w:divBdr>
                                                                <w:top w:val="none" w:sz="0" w:space="0" w:color="auto"/>
                                                                <w:left w:val="none" w:sz="0" w:space="0" w:color="auto"/>
                                                                <w:bottom w:val="none" w:sz="0" w:space="0" w:color="auto"/>
                                                                <w:right w:val="none" w:sz="0" w:space="0" w:color="auto"/>
                                                              </w:divBdr>
                                                              <w:divsChild>
                                                                <w:div w:id="606234189">
                                                                  <w:marLeft w:val="-270"/>
                                                                  <w:marRight w:val="0"/>
                                                                  <w:marTop w:val="0"/>
                                                                  <w:marBottom w:val="0"/>
                                                                  <w:divBdr>
                                                                    <w:top w:val="none" w:sz="0" w:space="0" w:color="auto"/>
                                                                    <w:left w:val="none" w:sz="0" w:space="0" w:color="auto"/>
                                                                    <w:bottom w:val="none" w:sz="0" w:space="0" w:color="auto"/>
                                                                    <w:right w:val="none" w:sz="0" w:space="0" w:color="auto"/>
                                                                  </w:divBdr>
                                                                  <w:divsChild>
                                                                    <w:div w:id="67700264">
                                                                      <w:marLeft w:val="0"/>
                                                                      <w:marRight w:val="0"/>
                                                                      <w:marTop w:val="0"/>
                                                                      <w:marBottom w:val="0"/>
                                                                      <w:divBdr>
                                                                        <w:top w:val="single" w:sz="6" w:space="0" w:color="E5E6E9"/>
                                                                        <w:left w:val="single" w:sz="6" w:space="0" w:color="DFE0E4"/>
                                                                        <w:bottom w:val="single" w:sz="6" w:space="0" w:color="D0D1D5"/>
                                                                        <w:right w:val="single" w:sz="6" w:space="0" w:color="DFE0E4"/>
                                                                      </w:divBdr>
                                                                      <w:divsChild>
                                                                        <w:div w:id="1544099575">
                                                                          <w:marLeft w:val="0"/>
                                                                          <w:marRight w:val="0"/>
                                                                          <w:marTop w:val="0"/>
                                                                          <w:marBottom w:val="0"/>
                                                                          <w:divBdr>
                                                                            <w:top w:val="none" w:sz="0" w:space="0" w:color="auto"/>
                                                                            <w:left w:val="none" w:sz="0" w:space="0" w:color="auto"/>
                                                                            <w:bottom w:val="none" w:sz="0" w:space="0" w:color="auto"/>
                                                                            <w:right w:val="none" w:sz="0" w:space="0" w:color="auto"/>
                                                                          </w:divBdr>
                                                                          <w:divsChild>
                                                                            <w:div w:id="67074452">
                                                                              <w:marLeft w:val="0"/>
                                                                              <w:marRight w:val="0"/>
                                                                              <w:marTop w:val="0"/>
                                                                              <w:marBottom w:val="0"/>
                                                                              <w:divBdr>
                                                                                <w:top w:val="none" w:sz="0" w:space="0" w:color="auto"/>
                                                                                <w:left w:val="none" w:sz="0" w:space="0" w:color="auto"/>
                                                                                <w:bottom w:val="none" w:sz="0" w:space="0" w:color="auto"/>
                                                                                <w:right w:val="none" w:sz="0" w:space="0" w:color="auto"/>
                                                                              </w:divBdr>
                                                                              <w:divsChild>
                                                                                <w:div w:id="645008722">
                                                                                  <w:marLeft w:val="0"/>
                                                                                  <w:marRight w:val="0"/>
                                                                                  <w:marTop w:val="0"/>
                                                                                  <w:marBottom w:val="0"/>
                                                                                  <w:divBdr>
                                                                                    <w:top w:val="none" w:sz="0" w:space="0" w:color="auto"/>
                                                                                    <w:left w:val="none" w:sz="0" w:space="0" w:color="auto"/>
                                                                                    <w:bottom w:val="none" w:sz="0" w:space="0" w:color="auto"/>
                                                                                    <w:right w:val="none" w:sz="0" w:space="0" w:color="auto"/>
                                                                                  </w:divBdr>
                                                                                  <w:divsChild>
                                                                                    <w:div w:id="813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822504">
      <w:bodyDiv w:val="1"/>
      <w:marLeft w:val="0"/>
      <w:marRight w:val="0"/>
      <w:marTop w:val="0"/>
      <w:marBottom w:val="0"/>
      <w:divBdr>
        <w:top w:val="none" w:sz="0" w:space="0" w:color="auto"/>
        <w:left w:val="none" w:sz="0" w:space="0" w:color="auto"/>
        <w:bottom w:val="none" w:sz="0" w:space="0" w:color="auto"/>
        <w:right w:val="none" w:sz="0" w:space="0" w:color="auto"/>
      </w:divBdr>
    </w:div>
    <w:div w:id="1560285340">
      <w:bodyDiv w:val="1"/>
      <w:marLeft w:val="0"/>
      <w:marRight w:val="0"/>
      <w:marTop w:val="0"/>
      <w:marBottom w:val="0"/>
      <w:divBdr>
        <w:top w:val="none" w:sz="0" w:space="0" w:color="auto"/>
        <w:left w:val="none" w:sz="0" w:space="0" w:color="auto"/>
        <w:bottom w:val="none" w:sz="0" w:space="0" w:color="auto"/>
        <w:right w:val="none" w:sz="0" w:space="0" w:color="auto"/>
      </w:divBdr>
    </w:div>
    <w:div w:id="1678313873">
      <w:bodyDiv w:val="1"/>
      <w:marLeft w:val="0"/>
      <w:marRight w:val="0"/>
      <w:marTop w:val="0"/>
      <w:marBottom w:val="0"/>
      <w:divBdr>
        <w:top w:val="none" w:sz="0" w:space="0" w:color="auto"/>
        <w:left w:val="none" w:sz="0" w:space="0" w:color="auto"/>
        <w:bottom w:val="none" w:sz="0" w:space="0" w:color="auto"/>
        <w:right w:val="none" w:sz="0" w:space="0" w:color="auto"/>
      </w:divBdr>
    </w:div>
    <w:div w:id="1986278593">
      <w:bodyDiv w:val="1"/>
      <w:marLeft w:val="0"/>
      <w:marRight w:val="0"/>
      <w:marTop w:val="0"/>
      <w:marBottom w:val="0"/>
      <w:divBdr>
        <w:top w:val="none" w:sz="0" w:space="0" w:color="auto"/>
        <w:left w:val="none" w:sz="0" w:space="0" w:color="auto"/>
        <w:bottom w:val="none" w:sz="0" w:space="0" w:color="auto"/>
        <w:right w:val="none" w:sz="0" w:space="0" w:color="auto"/>
      </w:divBdr>
    </w:div>
    <w:div w:id="2134054401">
      <w:bodyDiv w:val="1"/>
      <w:marLeft w:val="0"/>
      <w:marRight w:val="0"/>
      <w:marTop w:val="0"/>
      <w:marBottom w:val="0"/>
      <w:divBdr>
        <w:top w:val="none" w:sz="0" w:space="0" w:color="auto"/>
        <w:left w:val="none" w:sz="0" w:space="0" w:color="auto"/>
        <w:bottom w:val="none" w:sz="0" w:space="0" w:color="auto"/>
        <w:right w:val="none" w:sz="0" w:space="0" w:color="auto"/>
      </w:divBdr>
      <w:divsChild>
        <w:div w:id="1230388191">
          <w:marLeft w:val="0"/>
          <w:marRight w:val="0"/>
          <w:marTop w:val="0"/>
          <w:marBottom w:val="0"/>
          <w:divBdr>
            <w:top w:val="none" w:sz="0" w:space="0" w:color="auto"/>
            <w:left w:val="none" w:sz="0" w:space="0" w:color="auto"/>
            <w:bottom w:val="none" w:sz="0" w:space="0" w:color="auto"/>
            <w:right w:val="none" w:sz="0" w:space="0" w:color="auto"/>
          </w:divBdr>
          <w:divsChild>
            <w:div w:id="1641307635">
              <w:marLeft w:val="0"/>
              <w:marRight w:val="0"/>
              <w:marTop w:val="0"/>
              <w:marBottom w:val="0"/>
              <w:divBdr>
                <w:top w:val="none" w:sz="0" w:space="0" w:color="auto"/>
                <w:left w:val="none" w:sz="0" w:space="0" w:color="auto"/>
                <w:bottom w:val="none" w:sz="0" w:space="0" w:color="auto"/>
                <w:right w:val="none" w:sz="0" w:space="0" w:color="auto"/>
              </w:divBdr>
              <w:divsChild>
                <w:div w:id="1517813869">
                  <w:marLeft w:val="0"/>
                  <w:marRight w:val="0"/>
                  <w:marTop w:val="0"/>
                  <w:marBottom w:val="300"/>
                  <w:divBdr>
                    <w:top w:val="none" w:sz="0" w:space="0" w:color="auto"/>
                    <w:left w:val="none" w:sz="0" w:space="0" w:color="auto"/>
                    <w:bottom w:val="none" w:sz="0" w:space="0" w:color="auto"/>
                    <w:right w:val="none" w:sz="0" w:space="0" w:color="auto"/>
                  </w:divBdr>
                  <w:divsChild>
                    <w:div w:id="1551378754">
                      <w:marLeft w:val="0"/>
                      <w:marRight w:val="0"/>
                      <w:marTop w:val="0"/>
                      <w:marBottom w:val="0"/>
                      <w:divBdr>
                        <w:top w:val="none" w:sz="0" w:space="0" w:color="auto"/>
                        <w:left w:val="none" w:sz="0" w:space="0" w:color="auto"/>
                        <w:bottom w:val="none" w:sz="0" w:space="0" w:color="auto"/>
                        <w:right w:val="none" w:sz="0" w:space="0" w:color="auto"/>
                      </w:divBdr>
                      <w:divsChild>
                        <w:div w:id="13330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pportogimb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apportogimbe.it" TargetMode="External"/><Relationship Id="rId4" Type="http://schemas.openxmlformats.org/officeDocument/2006/relationships/settings" Target="settings.xml"/><Relationship Id="rId9" Type="http://schemas.openxmlformats.org/officeDocument/2006/relationships/hyperlink" Target="mailto:ufficio.stampa@gimbe.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E8E7C-41A7-42D0-8AC9-8A604BFF7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7</Pages>
  <Words>3840</Words>
  <Characters>21890</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dc:creator>
  <cp:lastModifiedBy>Marco Mosti</cp:lastModifiedBy>
  <cp:revision>23</cp:revision>
  <cp:lastPrinted>2014-01-27T14:53:00Z</cp:lastPrinted>
  <dcterms:created xsi:type="dcterms:W3CDTF">2018-06-04T09:51:00Z</dcterms:created>
  <dcterms:modified xsi:type="dcterms:W3CDTF">2018-07-06T09:47:00Z</dcterms:modified>
</cp:coreProperties>
</file>